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A1D" w14:textId="2C55159D" w:rsidR="00285255" w:rsidRDefault="00285255" w:rsidP="00285255">
      <w:pPr>
        <w:jc w:val="center"/>
        <w:rPr>
          <w:b/>
          <w:bCs/>
          <w:u w:val="single"/>
        </w:rPr>
      </w:pPr>
      <w:r w:rsidRPr="00285255">
        <w:rPr>
          <w:b/>
          <w:bCs/>
          <w:u w:val="single"/>
        </w:rPr>
        <w:t>NOTA DE PRENSA</w:t>
      </w:r>
    </w:p>
    <w:p w14:paraId="0C08D69D" w14:textId="77777777" w:rsidR="00285255" w:rsidRPr="00285255" w:rsidRDefault="00285255" w:rsidP="00285255">
      <w:pPr>
        <w:jc w:val="center"/>
        <w:rPr>
          <w:lang w:val="es-PE"/>
        </w:rPr>
      </w:pPr>
    </w:p>
    <w:p w14:paraId="3A990EFB" w14:textId="39BD4B2F" w:rsidR="00285255" w:rsidRDefault="00285255" w:rsidP="00285255">
      <w:pPr>
        <w:jc w:val="center"/>
        <w:rPr>
          <w:b/>
          <w:bCs/>
        </w:rPr>
      </w:pPr>
      <w:r w:rsidRPr="00285255">
        <w:rPr>
          <w:b/>
          <w:bCs/>
        </w:rPr>
        <w:t>Sanipes fortalece a</w:t>
      </w:r>
      <w:r w:rsidR="001349AF">
        <w:rPr>
          <w:b/>
          <w:bCs/>
        </w:rPr>
        <w:t xml:space="preserve"> 100</w:t>
      </w:r>
      <w:r w:rsidRPr="00285255">
        <w:rPr>
          <w:b/>
          <w:bCs/>
        </w:rPr>
        <w:t xml:space="preserve"> </w:t>
      </w:r>
      <w:r>
        <w:rPr>
          <w:b/>
          <w:bCs/>
        </w:rPr>
        <w:t>agentes en</w:t>
      </w:r>
      <w:r w:rsidRPr="00285255">
        <w:rPr>
          <w:b/>
          <w:bCs/>
        </w:rPr>
        <w:t xml:space="preserve"> Piura </w:t>
      </w:r>
      <w:r w:rsidR="00EC1C43">
        <w:rPr>
          <w:b/>
          <w:bCs/>
        </w:rPr>
        <w:t>sobre requisitos de</w:t>
      </w:r>
      <w:r w:rsidRPr="00285255">
        <w:rPr>
          <w:b/>
          <w:bCs/>
        </w:rPr>
        <w:t xml:space="preserve"> </w:t>
      </w:r>
      <w:r>
        <w:rPr>
          <w:b/>
          <w:bCs/>
        </w:rPr>
        <w:t>la</w:t>
      </w:r>
      <w:r w:rsidRPr="00285255">
        <w:rPr>
          <w:b/>
          <w:bCs/>
        </w:rPr>
        <w:t xml:space="preserve"> certificación sanitaria para exportar productos hidrobiológicos a Europa</w:t>
      </w:r>
    </w:p>
    <w:p w14:paraId="7BB980EA" w14:textId="77777777" w:rsidR="00285255" w:rsidRPr="00285255" w:rsidRDefault="00285255" w:rsidP="00285255">
      <w:pPr>
        <w:jc w:val="center"/>
        <w:rPr>
          <w:lang w:val="es-PE"/>
        </w:rPr>
      </w:pPr>
    </w:p>
    <w:p w14:paraId="7D77BB62" w14:textId="77777777" w:rsidR="00285255" w:rsidRDefault="00285255" w:rsidP="00285255">
      <w:pPr>
        <w:jc w:val="center"/>
        <w:rPr>
          <w:i/>
          <w:iCs/>
        </w:rPr>
      </w:pPr>
      <w:r w:rsidRPr="00285255">
        <w:rPr>
          <w:i/>
          <w:iCs/>
        </w:rPr>
        <w:t>Capacitación a productores y exportadores sobre lineamientos y documentación servirá para que puedan tramitar su certificación sanitaria y así exportar al mercado europeo.</w:t>
      </w:r>
    </w:p>
    <w:p w14:paraId="1CE081DC" w14:textId="433C5AE4" w:rsidR="00285255" w:rsidRPr="00285255" w:rsidRDefault="00285255" w:rsidP="00285255">
      <w:pPr>
        <w:jc w:val="both"/>
      </w:pPr>
      <w:r w:rsidRPr="00285255">
        <w:t> </w:t>
      </w:r>
    </w:p>
    <w:p w14:paraId="5DFD4E2C" w14:textId="09EC1ECF" w:rsidR="009907B1" w:rsidRDefault="00285255" w:rsidP="009907B1">
      <w:pPr>
        <w:jc w:val="both"/>
      </w:pPr>
      <w:r w:rsidRPr="00285255">
        <w:t>En Piura, la Autoridad Nacional de Sanidad e Inocuidad en Pesca y Acuicultura (Sanipes), entidad adscrita al Ministerio de la Producción (PRODUCE), fortaleció las capacidades de </w:t>
      </w:r>
      <w:r w:rsidR="001349AF">
        <w:t>aproximadamente</w:t>
      </w:r>
      <w:r w:rsidRPr="00285255">
        <w:t xml:space="preserve"> </w:t>
      </w:r>
      <w:r w:rsidR="001349AF">
        <w:t>100</w:t>
      </w:r>
      <w:r w:rsidRPr="00285255">
        <w:t> productores y</w:t>
      </w:r>
      <w:r>
        <w:t xml:space="preserve"> </w:t>
      </w:r>
      <w:r w:rsidRPr="00285255">
        <w:t>exportadores de productos hidrobiológicos de la región y zonas aledañas sobre</w:t>
      </w:r>
      <w:r w:rsidR="009907B1">
        <w:t xml:space="preserve"> los</w:t>
      </w:r>
      <w:r w:rsidR="00B65ED2">
        <w:t xml:space="preserve"> requisitos para la obtención de la certificación sanitaria con fines de exportación, los</w:t>
      </w:r>
      <w:r w:rsidR="009907B1">
        <w:t xml:space="preserve"> lineamientos para la emisión de</w:t>
      </w:r>
      <w:r w:rsidRPr="00285255">
        <w:t xml:space="preserve"> </w:t>
      </w:r>
      <w:r w:rsidR="00450B7E">
        <w:t xml:space="preserve">la </w:t>
      </w:r>
      <w:r w:rsidR="00450B7E" w:rsidRPr="00450B7E">
        <w:t>Declaración de Fábrica de Transformaci</w:t>
      </w:r>
      <w:r w:rsidR="00450B7E">
        <w:t>ó</w:t>
      </w:r>
      <w:r w:rsidR="00450B7E" w:rsidRPr="00450B7E">
        <w:t>n</w:t>
      </w:r>
      <w:r w:rsidR="009907B1">
        <w:t xml:space="preserve"> y el Documento de No Manipulación</w:t>
      </w:r>
      <w:r w:rsidRPr="00285255">
        <w:t xml:space="preserve">, </w:t>
      </w:r>
      <w:r w:rsidR="009907B1">
        <w:t>los alcances del Reglamento (UE) 2025/453 y el Reglamento 2025/636, r</w:t>
      </w:r>
      <w:r w:rsidR="00B65ED2">
        <w:t>equerimientos necesarios</w:t>
      </w:r>
      <w:r w:rsidR="009907B1">
        <w:t xml:space="preserve"> para que puedan exportar sus mercancías </w:t>
      </w:r>
      <w:r w:rsidR="00B65ED2">
        <w:t>a los países de la Unión Europea (UE)</w:t>
      </w:r>
      <w:r w:rsidR="009907B1">
        <w:t>.</w:t>
      </w:r>
    </w:p>
    <w:p w14:paraId="55A88DBE" w14:textId="77777777" w:rsidR="009907B1" w:rsidRPr="00285255" w:rsidRDefault="009907B1" w:rsidP="009907B1">
      <w:pPr>
        <w:jc w:val="both"/>
      </w:pPr>
    </w:p>
    <w:p w14:paraId="6D43FE81" w14:textId="2F0E37B8" w:rsidR="00285255" w:rsidRDefault="00B65ED2" w:rsidP="00285255">
      <w:pPr>
        <w:jc w:val="both"/>
      </w:pPr>
      <w:r>
        <w:t>Asimismo</w:t>
      </w:r>
      <w:r w:rsidR="00285255" w:rsidRPr="00285255">
        <w:t>,</w:t>
      </w:r>
      <w:r>
        <w:t xml:space="preserve"> la autoridad sanitaria capacitó sobre</w:t>
      </w:r>
      <w:r w:rsidR="00285255" w:rsidRPr="00285255">
        <w:t> la actualización del sistema CATCH (plataforma digital diseñada para combatir la pesca ilegal, no declarada y no reglamentada)</w:t>
      </w:r>
      <w:r>
        <w:t xml:space="preserve">, </w:t>
      </w:r>
      <w:r w:rsidR="00285255" w:rsidRPr="00285255">
        <w:t>instruyó sobre el correcto uso de la plataforma TRACES (sistema de la UE para certificar y rastrear el movimiento de productos animales y vegetales</w:t>
      </w:r>
      <w:r w:rsidR="00935E41">
        <w:t>)</w:t>
      </w:r>
      <w:r w:rsidR="009A5E0E">
        <w:t xml:space="preserve"> y</w:t>
      </w:r>
      <w:r w:rsidR="00285255" w:rsidRPr="00285255">
        <w:t> brindó recomendaciones para la presentación de trámites de certificación sanitaria de exportación para evitar retornos. </w:t>
      </w:r>
    </w:p>
    <w:p w14:paraId="2718D16B" w14:textId="77777777" w:rsidR="00285255" w:rsidRPr="00285255" w:rsidRDefault="00285255" w:rsidP="00285255">
      <w:pPr>
        <w:jc w:val="both"/>
      </w:pPr>
    </w:p>
    <w:p w14:paraId="648780B0" w14:textId="5DD5A01E" w:rsidR="00285255" w:rsidRDefault="00285255" w:rsidP="00285255">
      <w:pPr>
        <w:jc w:val="both"/>
      </w:pPr>
      <w:r w:rsidRPr="00285255">
        <w:t>En el presente año, Sanipes proyecta realizar tres capacitaciones más en regiones con alta actividad exportadora sobre requisitos para obtener la certificación sanitaria con fines de exportación a Europa. En estas actividades de fortalecimiento la autoridad sanitaria espera beneficiar aproximadamente a 200 operadores a nivel nacional. </w:t>
      </w:r>
    </w:p>
    <w:p w14:paraId="2F6348AA" w14:textId="77777777" w:rsidR="00285255" w:rsidRPr="00285255" w:rsidRDefault="00285255" w:rsidP="00285255">
      <w:pPr>
        <w:jc w:val="both"/>
      </w:pPr>
    </w:p>
    <w:p w14:paraId="53D2B776" w14:textId="2E3197F5" w:rsidR="00FB5534" w:rsidRDefault="00285255" w:rsidP="00AB093D">
      <w:pPr>
        <w:jc w:val="both"/>
        <w:rPr>
          <w:b/>
          <w:bCs/>
        </w:rPr>
      </w:pPr>
      <w:r w:rsidRPr="00285255">
        <w:t>En el 2025, Sanipes desarrolló tres capacitaciones relacionadas a la certificación sanitaria de productos hidrobiológicos y a su exportación a la UE, en las que se benefició a productores, exportadores y agentes de comercio exterior de aproximadamente 300 empresas. </w:t>
      </w:r>
    </w:p>
    <w:p w14:paraId="6849A4EF" w14:textId="77777777" w:rsidR="00FB5534" w:rsidRDefault="00FB5534" w:rsidP="00285255">
      <w:pPr>
        <w:jc w:val="right"/>
        <w:rPr>
          <w:b/>
          <w:bCs/>
        </w:rPr>
      </w:pPr>
    </w:p>
    <w:p w14:paraId="63D0DF81" w14:textId="671FC44B" w:rsidR="00FB5534" w:rsidRDefault="00FB5534" w:rsidP="00FB5534">
      <w:pPr>
        <w:jc w:val="both"/>
      </w:pPr>
      <w:r w:rsidRPr="00285255">
        <w:t>España</w:t>
      </w:r>
      <w:r>
        <w:t xml:space="preserve">, </w:t>
      </w:r>
      <w:r w:rsidRPr="00285255">
        <w:t>Italia</w:t>
      </w:r>
      <w:r>
        <w:t xml:space="preserve">, </w:t>
      </w:r>
      <w:r w:rsidRPr="00285255">
        <w:t>Francia</w:t>
      </w:r>
      <w:r>
        <w:t>,</w:t>
      </w:r>
      <w:r w:rsidRPr="00285255">
        <w:t xml:space="preserve"> Portugal</w:t>
      </w:r>
      <w:r>
        <w:t xml:space="preserve"> </w:t>
      </w:r>
      <w:r w:rsidRPr="00285255">
        <w:t>y Grecia</w:t>
      </w:r>
      <w:r w:rsidR="007B7383">
        <w:t xml:space="preserve"> fueron los principales destinos europeos a los que fueron exportados los productos hidrobiológicos peruanos durante enero de 2026.</w:t>
      </w:r>
    </w:p>
    <w:p w14:paraId="3E0C72DD" w14:textId="77777777" w:rsidR="00FB5534" w:rsidRDefault="00FB5534" w:rsidP="00FB5534">
      <w:pPr>
        <w:jc w:val="both"/>
      </w:pPr>
    </w:p>
    <w:p w14:paraId="43A3D5E0" w14:textId="068B9377" w:rsidR="00FB5534" w:rsidRDefault="00AB093D" w:rsidP="00FB5534">
      <w:pPr>
        <w:jc w:val="both"/>
      </w:pPr>
      <w:r>
        <w:t>Por otra parte, las especies hidrobiológicas peruanas más exportadas a los mencionados destinos de la UE fueron cinco: conchas de abanico, pota, atún, perico y langostino.</w:t>
      </w:r>
    </w:p>
    <w:p w14:paraId="3206ECD1" w14:textId="77777777" w:rsidR="007B7383" w:rsidRDefault="007B7383" w:rsidP="00FB5534">
      <w:pPr>
        <w:jc w:val="both"/>
      </w:pPr>
    </w:p>
    <w:p w14:paraId="7BE7CE0D" w14:textId="24C22986" w:rsidR="007B7383" w:rsidRDefault="007B7383" w:rsidP="007B7383">
      <w:pPr>
        <w:jc w:val="both"/>
      </w:pPr>
      <w:r>
        <w:t xml:space="preserve">Piura es actualmente uno de los principales departamentos productivos y exportadores de productos hidrobiológicos del país, destacando en </w:t>
      </w:r>
      <w:r w:rsidR="00056181">
        <w:t>tres</w:t>
      </w:r>
      <w:r>
        <w:t xml:space="preserve"> aspectos: alta concentración de plantas de congelado, enlatado y harina/aceite de pescado; producción pesquera y acuícola relevante de especies como pota, perico, concha de abanico y langostino; generación de empleo directo e indirecto, así como dinamización de la economía regional.</w:t>
      </w:r>
    </w:p>
    <w:p w14:paraId="60D99C12" w14:textId="77777777" w:rsidR="00AB093D" w:rsidRDefault="00AB093D" w:rsidP="00FB5534">
      <w:pPr>
        <w:jc w:val="both"/>
      </w:pPr>
    </w:p>
    <w:p w14:paraId="161A137D" w14:textId="77777777" w:rsidR="00AB093D" w:rsidRDefault="00AB093D" w:rsidP="00AB093D">
      <w:pPr>
        <w:jc w:val="right"/>
        <w:rPr>
          <w:b/>
          <w:bCs/>
        </w:rPr>
      </w:pPr>
    </w:p>
    <w:p w14:paraId="7D2100E4" w14:textId="6D094BE9" w:rsidR="00AB093D" w:rsidRDefault="00AB093D" w:rsidP="00285255">
      <w:pPr>
        <w:jc w:val="right"/>
      </w:pPr>
      <w:r w:rsidRPr="00285255">
        <w:rPr>
          <w:b/>
          <w:bCs/>
        </w:rPr>
        <w:t>Lince, 2</w:t>
      </w:r>
      <w:r w:rsidR="009B33CB">
        <w:rPr>
          <w:b/>
          <w:bCs/>
        </w:rPr>
        <w:t>3</w:t>
      </w:r>
      <w:r w:rsidRPr="00285255">
        <w:rPr>
          <w:b/>
          <w:bCs/>
        </w:rPr>
        <w:t> de febrero de 2026</w:t>
      </w:r>
    </w:p>
    <w:sectPr w:rsidR="00AB093D" w:rsidSect="00C6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9AE8" w14:textId="77777777" w:rsidR="00C921C7" w:rsidRDefault="00C921C7">
      <w:r>
        <w:separator/>
      </w:r>
    </w:p>
  </w:endnote>
  <w:endnote w:type="continuationSeparator" w:id="0">
    <w:p w14:paraId="0CA6FDE2" w14:textId="77777777" w:rsidR="00C921C7" w:rsidRDefault="00C9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0B9" w14:textId="77777777" w:rsidR="00F37CAF" w:rsidRDefault="00F37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77777777" w:rsidR="00B210E8" w:rsidRDefault="00C61BD2" w:rsidP="00B210E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8B4923" wp14:editId="5181A558">
          <wp:simplePos x="0" y="0"/>
          <wp:positionH relativeFrom="column">
            <wp:posOffset>5433695</wp:posOffset>
          </wp:positionH>
          <wp:positionV relativeFrom="paragraph">
            <wp:posOffset>-112</wp:posOffset>
          </wp:positionV>
          <wp:extent cx="711200" cy="360680"/>
          <wp:effectExtent l="0" t="0" r="0" b="0"/>
          <wp:wrapThrough wrapText="bothSides">
            <wp:wrapPolygon edited="0">
              <wp:start x="9257" y="0"/>
              <wp:lineTo x="0" y="761"/>
              <wp:lineTo x="0" y="20535"/>
              <wp:lineTo x="8100" y="20535"/>
              <wp:lineTo x="10414" y="20535"/>
              <wp:lineTo x="21214" y="20535"/>
              <wp:lineTo x="21214" y="761"/>
              <wp:lineTo x="11957" y="0"/>
              <wp:lineTo x="9257" y="0"/>
            </wp:wrapPolygon>
          </wp:wrapThrough>
          <wp:docPr id="11348273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27302" name="Imagen 1134827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5781BFF">
              <wp:simplePos x="0" y="0"/>
              <wp:positionH relativeFrom="column">
                <wp:posOffset>1630045</wp:posOffset>
              </wp:positionH>
              <wp:positionV relativeFrom="paragraph">
                <wp:posOffset>-200772</wp:posOffset>
              </wp:positionV>
              <wp:extent cx="3670935" cy="582930"/>
              <wp:effectExtent l="0" t="0" r="0" b="127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77FF2B60" w14:textId="77777777" w:rsidR="006A2C87" w:rsidRPr="00C61BD2" w:rsidRDefault="006A2C87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35pt;margin-top:-15.8pt;width:289.05pt;height:4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77FF2B60" w14:textId="77777777" w:rsidR="006A2C87" w:rsidRPr="00C61BD2" w:rsidRDefault="006A2C87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0BD6D48A" wp14:editId="4BA46FE0">
              <wp:simplePos x="0" y="0"/>
              <wp:positionH relativeFrom="margin">
                <wp:posOffset>-212090</wp:posOffset>
              </wp:positionH>
              <wp:positionV relativeFrom="paragraph">
                <wp:posOffset>-121920</wp:posOffset>
              </wp:positionV>
              <wp:extent cx="1842135" cy="519430"/>
              <wp:effectExtent l="0" t="0" r="0" b="1270"/>
              <wp:wrapSquare wrapText="bothSides"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213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E7593F1" w14:textId="77777777" w:rsidR="00B210E8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Av. Arequipa N° 1593, Lince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B210E8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- Lima</w:t>
                          </w:r>
                        </w:p>
                        <w:p w14:paraId="4FB9309C" w14:textId="77777777" w:rsidR="00B210E8" w:rsidRPr="00B210E8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Av. Carretera a Ventanilla km 5.2 - Callao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6.7pt;margin-top:-9.6pt;width:145.05pt;height:4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" stroked="f">
              <v:path arrowok="t"/>
              <v:textbox>
                <w:txbxContent>
                  <w:p w14:paraId="667E1842" w14:textId="77777777" w:rsidR="000E4635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  <w:p w14:paraId="0E7593F1" w14:textId="77777777" w:rsidR="00B210E8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Av. Arequipa N° 1593, Lince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B210E8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- Lima</w:t>
                    </w:r>
                  </w:p>
                  <w:p w14:paraId="4FB9309C" w14:textId="77777777" w:rsidR="00B210E8" w:rsidRPr="00B210E8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Av. Carretera a Ventanilla km 5.2 - Callao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br/>
                      <w:t>www.gob.pe/sanipes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D817" w14:textId="77777777" w:rsidR="00F37CAF" w:rsidRDefault="00F37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6729" w14:textId="77777777" w:rsidR="00C921C7" w:rsidRDefault="00C921C7">
      <w:r>
        <w:separator/>
      </w:r>
    </w:p>
  </w:footnote>
  <w:footnote w:type="continuationSeparator" w:id="0">
    <w:p w14:paraId="422256B3" w14:textId="77777777" w:rsidR="00C921C7" w:rsidRDefault="00C9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FD20" w14:textId="77777777" w:rsidR="00F37CAF" w:rsidRDefault="00F37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33C3" w14:textId="77777777" w:rsidR="00F37CAF" w:rsidRDefault="00F37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56181"/>
    <w:rsid w:val="00086E48"/>
    <w:rsid w:val="000D44CA"/>
    <w:rsid w:val="000E4635"/>
    <w:rsid w:val="0011758D"/>
    <w:rsid w:val="001349AF"/>
    <w:rsid w:val="00140764"/>
    <w:rsid w:val="001B091F"/>
    <w:rsid w:val="001C63E7"/>
    <w:rsid w:val="001D089A"/>
    <w:rsid w:val="001D6E6B"/>
    <w:rsid w:val="001F3148"/>
    <w:rsid w:val="0021111B"/>
    <w:rsid w:val="0021717B"/>
    <w:rsid w:val="00226C63"/>
    <w:rsid w:val="002451C0"/>
    <w:rsid w:val="00246984"/>
    <w:rsid w:val="00266EAC"/>
    <w:rsid w:val="00285255"/>
    <w:rsid w:val="0029042F"/>
    <w:rsid w:val="002C53EB"/>
    <w:rsid w:val="002D2BFE"/>
    <w:rsid w:val="002E0C51"/>
    <w:rsid w:val="002F48B5"/>
    <w:rsid w:val="00305B78"/>
    <w:rsid w:val="00306A86"/>
    <w:rsid w:val="00315F7C"/>
    <w:rsid w:val="00322DCC"/>
    <w:rsid w:val="00373EEB"/>
    <w:rsid w:val="00385292"/>
    <w:rsid w:val="003B6347"/>
    <w:rsid w:val="003D2413"/>
    <w:rsid w:val="00411DE1"/>
    <w:rsid w:val="00420409"/>
    <w:rsid w:val="00450B7E"/>
    <w:rsid w:val="00453DB3"/>
    <w:rsid w:val="00456A82"/>
    <w:rsid w:val="004660E0"/>
    <w:rsid w:val="00467C7D"/>
    <w:rsid w:val="0047598B"/>
    <w:rsid w:val="00486091"/>
    <w:rsid w:val="004A01D1"/>
    <w:rsid w:val="004A1873"/>
    <w:rsid w:val="004D2A8B"/>
    <w:rsid w:val="004D5040"/>
    <w:rsid w:val="0051168E"/>
    <w:rsid w:val="005152D1"/>
    <w:rsid w:val="00543D54"/>
    <w:rsid w:val="00545A2D"/>
    <w:rsid w:val="00557B1D"/>
    <w:rsid w:val="00577D9E"/>
    <w:rsid w:val="005E18F3"/>
    <w:rsid w:val="005E3A21"/>
    <w:rsid w:val="005E5C4C"/>
    <w:rsid w:val="006000F0"/>
    <w:rsid w:val="00602867"/>
    <w:rsid w:val="006528E1"/>
    <w:rsid w:val="00693D2B"/>
    <w:rsid w:val="006A2C87"/>
    <w:rsid w:val="006D22C6"/>
    <w:rsid w:val="006D487F"/>
    <w:rsid w:val="006F40F0"/>
    <w:rsid w:val="0073454A"/>
    <w:rsid w:val="00771A88"/>
    <w:rsid w:val="00784501"/>
    <w:rsid w:val="007B7383"/>
    <w:rsid w:val="007C60B7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35E41"/>
    <w:rsid w:val="00974E91"/>
    <w:rsid w:val="009907B1"/>
    <w:rsid w:val="009A5E0E"/>
    <w:rsid w:val="009B33CB"/>
    <w:rsid w:val="009F503F"/>
    <w:rsid w:val="00A17829"/>
    <w:rsid w:val="00A21690"/>
    <w:rsid w:val="00AB093D"/>
    <w:rsid w:val="00AD0B83"/>
    <w:rsid w:val="00AD4FCD"/>
    <w:rsid w:val="00AE59D1"/>
    <w:rsid w:val="00AF6D69"/>
    <w:rsid w:val="00B01CE8"/>
    <w:rsid w:val="00B13245"/>
    <w:rsid w:val="00B210E8"/>
    <w:rsid w:val="00B360CB"/>
    <w:rsid w:val="00B412B9"/>
    <w:rsid w:val="00B65ED2"/>
    <w:rsid w:val="00B84AB8"/>
    <w:rsid w:val="00BA6BBC"/>
    <w:rsid w:val="00BB03A6"/>
    <w:rsid w:val="00BD15B7"/>
    <w:rsid w:val="00BF75C1"/>
    <w:rsid w:val="00C0411B"/>
    <w:rsid w:val="00C14BF8"/>
    <w:rsid w:val="00C24076"/>
    <w:rsid w:val="00C46472"/>
    <w:rsid w:val="00C55773"/>
    <w:rsid w:val="00C61BD2"/>
    <w:rsid w:val="00C75928"/>
    <w:rsid w:val="00C77279"/>
    <w:rsid w:val="00C921C7"/>
    <w:rsid w:val="00CB535E"/>
    <w:rsid w:val="00CD5256"/>
    <w:rsid w:val="00CE794F"/>
    <w:rsid w:val="00D002E5"/>
    <w:rsid w:val="00D03A4B"/>
    <w:rsid w:val="00D03D46"/>
    <w:rsid w:val="00D52BC4"/>
    <w:rsid w:val="00DA258B"/>
    <w:rsid w:val="00DC5145"/>
    <w:rsid w:val="00DC5F56"/>
    <w:rsid w:val="00DE38CC"/>
    <w:rsid w:val="00DE7356"/>
    <w:rsid w:val="00DF4B8E"/>
    <w:rsid w:val="00E05937"/>
    <w:rsid w:val="00E16262"/>
    <w:rsid w:val="00E44202"/>
    <w:rsid w:val="00E53B07"/>
    <w:rsid w:val="00E606CE"/>
    <w:rsid w:val="00EC1C43"/>
    <w:rsid w:val="00F04A91"/>
    <w:rsid w:val="00F06794"/>
    <w:rsid w:val="00F174FA"/>
    <w:rsid w:val="00F17921"/>
    <w:rsid w:val="00F3696C"/>
    <w:rsid w:val="00F37CAF"/>
    <w:rsid w:val="00F91611"/>
    <w:rsid w:val="00FB5534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D24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4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413"/>
    <w:rPr>
      <w:rFonts w:ascii="Verdana" w:eastAsia="Verdana" w:hAnsi="Verdana" w:cs="Verdana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4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413"/>
    <w:rPr>
      <w:rFonts w:ascii="Verdana" w:eastAsia="Verdana" w:hAnsi="Verdana" w:cs="Verdana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D3FF-E856-4E2C-A8E5-A042F485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126</cp:revision>
  <cp:lastPrinted>2025-12-31T17:06:00Z</cp:lastPrinted>
  <dcterms:created xsi:type="dcterms:W3CDTF">2026-02-19T17:48:00Z</dcterms:created>
  <dcterms:modified xsi:type="dcterms:W3CDTF">2026-02-23T15:22:00Z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