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956D" w14:textId="4875EEA9" w:rsidR="009B3C73" w:rsidRPr="00702485" w:rsidRDefault="00A721E5" w:rsidP="00A721E5">
      <w:pPr>
        <w:pStyle w:val="NormalWeb"/>
        <w:spacing w:line="276" w:lineRule="auto"/>
        <w:jc w:val="center"/>
        <w:rPr>
          <w:rFonts w:ascii="Barlow" w:eastAsiaTheme="minorHAnsi" w:hAnsi="Barlow" w:cs="Arial"/>
          <w:b/>
          <w:bCs/>
          <w:sz w:val="28"/>
          <w:szCs w:val="28"/>
          <w:lang w:eastAsia="en-US"/>
        </w:rPr>
      </w:pPr>
      <w:r w:rsidRPr="00702485">
        <w:rPr>
          <w:rFonts w:ascii="Barlow" w:eastAsiaTheme="minorHAnsi" w:hAnsi="Barlow" w:cs="Arial"/>
          <w:b/>
          <w:bCs/>
          <w:sz w:val="28"/>
          <w:szCs w:val="28"/>
          <w:lang w:eastAsia="en-US"/>
        </w:rPr>
        <w:t xml:space="preserve">ANFACO-CYTMA Y CALAMASUR FIRMAN UN CONVENIO PARA IMPULSAR LA SOSTENIBILIDAD </w:t>
      </w:r>
      <w:r w:rsidR="00702485" w:rsidRPr="00702485">
        <w:rPr>
          <w:rFonts w:ascii="Barlow" w:eastAsiaTheme="minorHAnsi" w:hAnsi="Barlow" w:cs="Arial"/>
          <w:b/>
          <w:bCs/>
          <w:sz w:val="28"/>
          <w:szCs w:val="28"/>
          <w:lang w:eastAsia="en-US"/>
        </w:rPr>
        <w:t xml:space="preserve">Y </w:t>
      </w:r>
      <w:r w:rsidR="00E33F0E">
        <w:rPr>
          <w:rFonts w:ascii="Barlow" w:eastAsiaTheme="minorHAnsi" w:hAnsi="Barlow" w:cs="Arial"/>
          <w:b/>
          <w:bCs/>
          <w:sz w:val="28"/>
          <w:szCs w:val="28"/>
          <w:lang w:eastAsia="en-US"/>
        </w:rPr>
        <w:t xml:space="preserve">EL </w:t>
      </w:r>
      <w:r w:rsidR="00702485" w:rsidRPr="00702485">
        <w:rPr>
          <w:rFonts w:ascii="Barlow" w:eastAsiaTheme="minorHAnsi" w:hAnsi="Barlow" w:cs="Arial"/>
          <w:b/>
          <w:bCs/>
          <w:sz w:val="28"/>
          <w:szCs w:val="28"/>
          <w:lang w:eastAsia="en-US"/>
        </w:rPr>
        <w:t xml:space="preserve">VALOR AÑADIDO </w:t>
      </w:r>
      <w:r w:rsidRPr="00702485">
        <w:rPr>
          <w:rFonts w:ascii="Barlow" w:eastAsiaTheme="minorHAnsi" w:hAnsi="Barlow" w:cs="Arial"/>
          <w:b/>
          <w:bCs/>
          <w:sz w:val="28"/>
          <w:szCs w:val="28"/>
          <w:lang w:eastAsia="en-US"/>
        </w:rPr>
        <w:t>DEL CALAMAR GIGANTE DEL PACÍFICO SUR</w:t>
      </w:r>
    </w:p>
    <w:p w14:paraId="4FDF3B29" w14:textId="49CCE58B" w:rsidR="00E33F0E" w:rsidRPr="00E33F0E" w:rsidRDefault="00E33F0E" w:rsidP="00E33F0E">
      <w:pPr>
        <w:pStyle w:val="NormalWeb"/>
        <w:spacing w:line="276" w:lineRule="auto"/>
        <w:jc w:val="center"/>
        <w:rPr>
          <w:rFonts w:ascii="Barlow" w:eastAsiaTheme="minorHAnsi" w:hAnsi="Barlow" w:cs="Arial"/>
          <w:i/>
          <w:iCs/>
          <w:szCs w:val="22"/>
        </w:rPr>
      </w:pPr>
      <w:r w:rsidRPr="00E33F0E">
        <w:rPr>
          <w:rFonts w:ascii="Barlow" w:eastAsiaTheme="minorHAnsi" w:hAnsi="Barlow" w:cs="Arial"/>
          <w:i/>
          <w:iCs/>
          <w:szCs w:val="22"/>
        </w:rPr>
        <w:t>El acuerdo refuerza la cooperación entre países productores (</w:t>
      </w:r>
      <w:r w:rsidR="006F3E22">
        <w:rPr>
          <w:rFonts w:ascii="Barlow" w:eastAsiaTheme="minorHAnsi" w:hAnsi="Barlow" w:cs="Arial"/>
          <w:i/>
          <w:iCs/>
          <w:szCs w:val="22"/>
        </w:rPr>
        <w:t xml:space="preserve">Perú, </w:t>
      </w:r>
      <w:r w:rsidRPr="00E33F0E">
        <w:rPr>
          <w:rFonts w:ascii="Barlow" w:eastAsiaTheme="minorHAnsi" w:hAnsi="Barlow" w:cs="Arial"/>
          <w:i/>
          <w:iCs/>
          <w:szCs w:val="22"/>
        </w:rPr>
        <w:t>Chile, Ecuado</w:t>
      </w:r>
      <w:r w:rsidR="007909D6">
        <w:rPr>
          <w:rFonts w:ascii="Barlow" w:eastAsiaTheme="minorHAnsi" w:hAnsi="Barlow" w:cs="Arial"/>
          <w:i/>
          <w:iCs/>
          <w:szCs w:val="22"/>
        </w:rPr>
        <w:t>r y</w:t>
      </w:r>
      <w:r w:rsidRPr="00E33F0E">
        <w:rPr>
          <w:rFonts w:ascii="Barlow" w:eastAsiaTheme="minorHAnsi" w:hAnsi="Barlow" w:cs="Arial"/>
          <w:i/>
          <w:iCs/>
          <w:szCs w:val="22"/>
        </w:rPr>
        <w:t xml:space="preserve"> </w:t>
      </w:r>
      <w:r w:rsidR="004263ED" w:rsidRPr="00E33F0E">
        <w:rPr>
          <w:rFonts w:ascii="Barlow" w:eastAsiaTheme="minorHAnsi" w:hAnsi="Barlow" w:cs="Arial"/>
          <w:i/>
          <w:iCs/>
          <w:szCs w:val="22"/>
        </w:rPr>
        <w:t>México)</w:t>
      </w:r>
      <w:r w:rsidRPr="00E33F0E">
        <w:rPr>
          <w:rFonts w:ascii="Barlow" w:eastAsiaTheme="minorHAnsi" w:hAnsi="Barlow" w:cs="Arial"/>
          <w:i/>
          <w:iCs/>
          <w:szCs w:val="22"/>
        </w:rPr>
        <w:t xml:space="preserve"> y la industria transformadora española para garantizar la gestión sostenible de uno de los recursos pesqueros más abundantes y estratégicos para el mercado internacional, el calamar gigante (Dosidicus gigas).</w:t>
      </w:r>
    </w:p>
    <w:p w14:paraId="211A28E3" w14:textId="77777777" w:rsidR="00E33F0E" w:rsidRPr="00E33F0E" w:rsidRDefault="00E33F0E" w:rsidP="00E33F0E">
      <w:pPr>
        <w:pStyle w:val="NormalWeb"/>
        <w:spacing w:line="276" w:lineRule="auto"/>
        <w:jc w:val="center"/>
        <w:rPr>
          <w:rFonts w:ascii="Barlow" w:eastAsiaTheme="minorHAnsi" w:hAnsi="Barlow" w:cs="Arial"/>
          <w:i/>
          <w:iCs/>
          <w:szCs w:val="22"/>
        </w:rPr>
      </w:pPr>
      <w:r w:rsidRPr="00E33F0E">
        <w:rPr>
          <w:rFonts w:ascii="Barlow" w:eastAsiaTheme="minorHAnsi" w:hAnsi="Barlow" w:cs="Arial"/>
          <w:i/>
          <w:iCs/>
          <w:szCs w:val="22"/>
        </w:rPr>
        <w:t>Como primer objetivo, ambas entidades trabajan ya de manera conjunta con vistas a la próxima reunión de la Organización Regional de Ordenación Pesquera del Pacífico Sur (OROP-PS), donde se buscará la adopción de medidas de manejo sostenible tras años de avances técnicos y científicos compartidos.</w:t>
      </w:r>
    </w:p>
    <w:p w14:paraId="2A332CA7" w14:textId="0A94EA22" w:rsidR="00A721E5" w:rsidRDefault="00A721E5" w:rsidP="00A721E5">
      <w:pPr>
        <w:pStyle w:val="NormalWeb"/>
        <w:spacing w:before="0" w:beforeAutospacing="0" w:after="0" w:afterAutospacing="0" w:line="276" w:lineRule="auto"/>
        <w:jc w:val="center"/>
        <w:rPr>
          <w:rFonts w:ascii="Barlow" w:eastAsiaTheme="minorHAnsi" w:hAnsi="Barlow" w:cs="Arial"/>
          <w:i/>
          <w:iCs/>
          <w:szCs w:val="22"/>
          <w:lang w:eastAsia="en-US"/>
        </w:rPr>
      </w:pPr>
      <w:r>
        <w:rPr>
          <w:rFonts w:ascii="Barlow" w:eastAsiaTheme="minorHAnsi" w:hAnsi="Barlow" w:cs="Arial"/>
          <w:i/>
          <w:iCs/>
          <w:szCs w:val="22"/>
          <w:lang w:eastAsia="en-US"/>
        </w:rPr>
        <w:t>---</w:t>
      </w:r>
    </w:p>
    <w:p w14:paraId="7DC5879A" w14:textId="77777777" w:rsidR="00702485" w:rsidRPr="00A721E5" w:rsidRDefault="00702485" w:rsidP="00A721E5">
      <w:pPr>
        <w:pStyle w:val="NormalWeb"/>
        <w:spacing w:before="0" w:beforeAutospacing="0" w:after="0" w:afterAutospacing="0" w:line="276" w:lineRule="auto"/>
        <w:jc w:val="center"/>
        <w:rPr>
          <w:rFonts w:ascii="Barlow" w:eastAsiaTheme="minorHAnsi" w:hAnsi="Barlow" w:cs="Arial"/>
          <w:i/>
          <w:iCs/>
          <w:szCs w:val="22"/>
          <w:lang w:eastAsia="en-US"/>
        </w:rPr>
      </w:pPr>
    </w:p>
    <w:p w14:paraId="2CD3C5DF" w14:textId="3295B1E6" w:rsidR="00E33F0E" w:rsidRDefault="009B3C73" w:rsidP="00DF0911">
      <w:pPr>
        <w:pStyle w:val="NormalWeb"/>
        <w:spacing w:before="0" w:beforeAutospacing="0" w:after="0" w:afterAutospacing="0" w:line="276" w:lineRule="auto"/>
        <w:jc w:val="both"/>
        <w:rPr>
          <w:rFonts w:ascii="Barlow" w:hAnsi="Barlow"/>
          <w:sz w:val="22"/>
          <w:szCs w:val="22"/>
        </w:rPr>
      </w:pPr>
      <w:r w:rsidRPr="00DF0911">
        <w:rPr>
          <w:rFonts w:ascii="Barlow" w:hAnsi="Barlow"/>
          <w:i/>
          <w:iCs/>
          <w:sz w:val="22"/>
          <w:szCs w:val="22"/>
        </w:rPr>
        <w:t xml:space="preserve">25 </w:t>
      </w:r>
      <w:r w:rsidR="00A74D64" w:rsidRPr="00DF0911">
        <w:rPr>
          <w:rFonts w:ascii="Barlow" w:hAnsi="Barlow"/>
          <w:i/>
          <w:iCs/>
          <w:sz w:val="22"/>
          <w:szCs w:val="22"/>
        </w:rPr>
        <w:t xml:space="preserve">de </w:t>
      </w:r>
      <w:r w:rsidR="003213B2" w:rsidRPr="00DF0911">
        <w:rPr>
          <w:rFonts w:ascii="Barlow" w:hAnsi="Barlow"/>
          <w:i/>
          <w:iCs/>
          <w:sz w:val="22"/>
          <w:szCs w:val="22"/>
        </w:rPr>
        <w:t xml:space="preserve">febrero </w:t>
      </w:r>
      <w:r w:rsidR="00A74D64" w:rsidRPr="00DF0911">
        <w:rPr>
          <w:rFonts w:ascii="Barlow" w:hAnsi="Barlow"/>
          <w:i/>
          <w:iCs/>
          <w:sz w:val="22"/>
          <w:szCs w:val="22"/>
        </w:rPr>
        <w:t>de 202</w:t>
      </w:r>
      <w:r w:rsidR="00FD1A9D" w:rsidRPr="00DF0911">
        <w:rPr>
          <w:rFonts w:ascii="Barlow" w:hAnsi="Barlow"/>
          <w:i/>
          <w:iCs/>
          <w:sz w:val="22"/>
          <w:szCs w:val="22"/>
        </w:rPr>
        <w:t>6</w:t>
      </w:r>
      <w:r w:rsidR="00A74D64" w:rsidRPr="00DF0911">
        <w:rPr>
          <w:rFonts w:ascii="Barlow" w:hAnsi="Barlow"/>
          <w:i/>
          <w:iCs/>
          <w:sz w:val="22"/>
          <w:szCs w:val="22"/>
        </w:rPr>
        <w:t>.</w:t>
      </w:r>
      <w:r w:rsidR="00DF0911">
        <w:rPr>
          <w:rFonts w:ascii="Barlow" w:hAnsi="Barlow"/>
          <w:i/>
          <w:iCs/>
          <w:sz w:val="22"/>
          <w:szCs w:val="22"/>
        </w:rPr>
        <w:t>-</w:t>
      </w:r>
      <w:r w:rsidR="00A74D64" w:rsidRPr="00DF0911">
        <w:rPr>
          <w:rFonts w:ascii="Barlow" w:hAnsi="Barlow"/>
          <w:i/>
          <w:iCs/>
          <w:sz w:val="22"/>
          <w:szCs w:val="22"/>
        </w:rPr>
        <w:t xml:space="preserve"> </w:t>
      </w:r>
      <w:r w:rsidR="00E33F0E" w:rsidRPr="00E33F0E">
        <w:rPr>
          <w:rFonts w:ascii="Barlow" w:hAnsi="Barlow"/>
          <w:sz w:val="22"/>
          <w:szCs w:val="22"/>
        </w:rPr>
        <w:t>ANFACO-CYTMA y el Comité para el Manejo Sustentable del Calamar Gigante del Pacífico Sur (CALAMASUR) han suscrito un Convenio Marco de Colaboración que formaliza la cooperación mantenida en los últimos años para promover la sostenibilidad del calamar gigante en el ámbito de la OROP-PS, además de sentar las bases para impulsar la innovación y el valor añadido a lo largo de toda la cadena de valor.</w:t>
      </w:r>
    </w:p>
    <w:p w14:paraId="535AB734" w14:textId="240BB4B3" w:rsidR="00E33F0E" w:rsidRDefault="00E33F0E" w:rsidP="00E33F0E">
      <w:pPr>
        <w:pStyle w:val="NormalWeb"/>
        <w:spacing w:line="276" w:lineRule="auto"/>
        <w:jc w:val="both"/>
        <w:rPr>
          <w:rFonts w:ascii="Barlow" w:hAnsi="Barlow"/>
          <w:sz w:val="22"/>
          <w:szCs w:val="22"/>
        </w:rPr>
      </w:pPr>
      <w:r w:rsidRPr="00E33F0E">
        <w:rPr>
          <w:rFonts w:ascii="Barlow" w:hAnsi="Barlow"/>
          <w:sz w:val="22"/>
          <w:szCs w:val="22"/>
        </w:rPr>
        <w:t xml:space="preserve">El calamar gigante del Pacífico </w:t>
      </w:r>
      <w:r w:rsidR="004101E2">
        <w:rPr>
          <w:rFonts w:ascii="Barlow" w:hAnsi="Barlow"/>
          <w:sz w:val="22"/>
          <w:szCs w:val="22"/>
        </w:rPr>
        <w:t>s</w:t>
      </w:r>
      <w:r w:rsidRPr="00E33F0E">
        <w:rPr>
          <w:rFonts w:ascii="Barlow" w:hAnsi="Barlow"/>
          <w:sz w:val="22"/>
          <w:szCs w:val="22"/>
        </w:rPr>
        <w:t>ur es uno de los recursos pesqueros más abundantes del mundo, con una distribución que abarca desde California hasta el sur de Chile y una flota internacional de gran relevancia. Los desembarcos han llegado a superar los 1,</w:t>
      </w:r>
      <w:r w:rsidR="006D55FF">
        <w:rPr>
          <w:rFonts w:ascii="Barlow" w:hAnsi="Barlow"/>
          <w:sz w:val="22"/>
          <w:szCs w:val="22"/>
        </w:rPr>
        <w:t>7</w:t>
      </w:r>
      <w:r w:rsidRPr="00E33F0E">
        <w:rPr>
          <w:rFonts w:ascii="Barlow" w:hAnsi="Barlow"/>
          <w:sz w:val="22"/>
          <w:szCs w:val="22"/>
        </w:rPr>
        <w:t xml:space="preserve"> millones de toneladas, evidenciando su importancia económica, alimentaria y estratégica para los países ribereños y para el mercado global de productos del mar.</w:t>
      </w:r>
    </w:p>
    <w:p w14:paraId="5A3332C3" w14:textId="7850264D" w:rsidR="00E33F0E" w:rsidRDefault="00E33F0E" w:rsidP="00E33F0E">
      <w:pPr>
        <w:pStyle w:val="NormalWeb"/>
        <w:spacing w:line="276" w:lineRule="auto"/>
        <w:jc w:val="both"/>
        <w:rPr>
          <w:rFonts w:ascii="Barlow" w:hAnsi="Barlow"/>
          <w:sz w:val="22"/>
          <w:szCs w:val="22"/>
        </w:rPr>
      </w:pPr>
      <w:r w:rsidRPr="00E33F0E">
        <w:rPr>
          <w:rFonts w:ascii="Barlow" w:hAnsi="Barlow"/>
          <w:sz w:val="22"/>
          <w:szCs w:val="22"/>
        </w:rPr>
        <w:t xml:space="preserve">El acuerdo fue firmado por el </w:t>
      </w:r>
      <w:r w:rsidR="007731AF" w:rsidRPr="00E33F0E">
        <w:rPr>
          <w:rFonts w:ascii="Barlow" w:hAnsi="Barlow"/>
          <w:sz w:val="22"/>
          <w:szCs w:val="22"/>
        </w:rPr>
        <w:t>secretario general</w:t>
      </w:r>
      <w:r w:rsidRPr="00E33F0E">
        <w:rPr>
          <w:rFonts w:ascii="Barlow" w:hAnsi="Barlow"/>
          <w:sz w:val="22"/>
          <w:szCs w:val="22"/>
        </w:rPr>
        <w:t xml:space="preserve"> de ANFACO-CYTMA, Roberto Alonso, y el </w:t>
      </w:r>
      <w:r w:rsidR="007731AF">
        <w:rPr>
          <w:rFonts w:ascii="Barlow" w:hAnsi="Barlow"/>
          <w:sz w:val="22"/>
          <w:szCs w:val="22"/>
        </w:rPr>
        <w:t>p</w:t>
      </w:r>
      <w:r w:rsidRPr="00E33F0E">
        <w:rPr>
          <w:rFonts w:ascii="Barlow" w:hAnsi="Barlow"/>
          <w:sz w:val="22"/>
          <w:szCs w:val="22"/>
        </w:rPr>
        <w:t>residente de CALAMASUR, Alfonso Miranda, con el compromiso de avanzar hacia la aprobación de medidas de gestión efectivas en la OROP-PS. Durante la 14ª Reunión de la Comisión, que se celebrará la próxima semana en Panamá, se analizarán diversas propuestas de ordenación elaboradas con la participación de ambas entidades, con el fin de asegurar una gestión sostenible en sus dimensiones económica, medioambiental y social.</w:t>
      </w:r>
    </w:p>
    <w:p w14:paraId="249D996D" w14:textId="7FA0526F" w:rsidR="00E33F0E" w:rsidRDefault="00E33F0E" w:rsidP="00E33F0E">
      <w:pPr>
        <w:pBdr>
          <w:left w:val="single" w:sz="4" w:space="4" w:color="auto"/>
        </w:pBdr>
        <w:spacing w:line="276" w:lineRule="auto"/>
        <w:ind w:left="425" w:right="23"/>
        <w:jc w:val="both"/>
        <w:rPr>
          <w:rFonts w:ascii="Barlow" w:hAnsi="Barlow"/>
          <w:i/>
          <w:iCs/>
          <w:color w:val="4472C4" w:themeColor="accent1"/>
          <w:sz w:val="22"/>
          <w:szCs w:val="22"/>
        </w:rPr>
      </w:pPr>
      <w:r w:rsidRPr="00E33F0E">
        <w:rPr>
          <w:rFonts w:ascii="Barlow" w:hAnsi="Barlow"/>
          <w:i/>
          <w:iCs/>
          <w:color w:val="4472C4" w:themeColor="accent1"/>
          <w:sz w:val="22"/>
          <w:szCs w:val="22"/>
        </w:rPr>
        <w:t xml:space="preserve">“Una ausencia de decisión en esta reunión para avanzar hacia medidas de manejo del recurso —como el establecimiento de cuotas de </w:t>
      </w:r>
      <w:r w:rsidR="003332B4">
        <w:rPr>
          <w:rFonts w:ascii="Barlow" w:hAnsi="Barlow"/>
          <w:i/>
          <w:iCs/>
          <w:color w:val="4472C4" w:themeColor="accent1"/>
          <w:sz w:val="22"/>
          <w:szCs w:val="22"/>
        </w:rPr>
        <w:t>captura</w:t>
      </w:r>
      <w:r w:rsidRPr="00E33F0E">
        <w:rPr>
          <w:rFonts w:ascii="Barlow" w:hAnsi="Barlow"/>
          <w:i/>
          <w:iCs/>
          <w:color w:val="4472C4" w:themeColor="accent1"/>
          <w:sz w:val="22"/>
          <w:szCs w:val="22"/>
        </w:rPr>
        <w:t xml:space="preserve"> o la creación de zonas de exclusión pesquera— podría comprometer el incremento del esfuerzo pesquero actual y la competitividad del calamar gigante en el mercado internacional. Implicaría un perjuicio permanente y limitaría el futuro de esta actividad”, señaló Alfonso Miranda, presidente de CALAMASUR.</w:t>
      </w:r>
    </w:p>
    <w:p w14:paraId="6398D089" w14:textId="77777777" w:rsidR="00E33F0E" w:rsidRPr="00E33F0E" w:rsidRDefault="00E33F0E" w:rsidP="00E33F0E">
      <w:pPr>
        <w:pStyle w:val="NormalWeb"/>
        <w:spacing w:line="276" w:lineRule="auto"/>
        <w:jc w:val="both"/>
        <w:rPr>
          <w:rFonts w:ascii="Barlow" w:hAnsi="Barlow"/>
          <w:sz w:val="22"/>
          <w:szCs w:val="22"/>
        </w:rPr>
      </w:pPr>
      <w:r w:rsidRPr="00E33F0E">
        <w:rPr>
          <w:rFonts w:ascii="Barlow" w:hAnsi="Barlow"/>
          <w:sz w:val="22"/>
          <w:szCs w:val="22"/>
        </w:rPr>
        <w:t>La explotación del recurso, influida por condiciones ambientales variables y la falta de límites de captura en algunas zonas de alta mar, enfrenta desafíos significativos en materia de sostenibilidad, previsibilidad del suministro y estabilidad de las cadenas de valor. Las decisiones que se adopten en los próximos días tendrán impacto directo sobre la seguridad alimentaria, la operatividad y la gobernanza regional.</w:t>
      </w:r>
    </w:p>
    <w:p w14:paraId="78850D1B" w14:textId="77777777" w:rsidR="00E33F0E" w:rsidRPr="00E33F0E" w:rsidRDefault="00E33F0E" w:rsidP="00E33F0E">
      <w:pPr>
        <w:pStyle w:val="NormalWeb"/>
        <w:spacing w:line="276" w:lineRule="auto"/>
        <w:jc w:val="both"/>
        <w:rPr>
          <w:rFonts w:ascii="Barlow" w:hAnsi="Barlow"/>
          <w:sz w:val="22"/>
          <w:szCs w:val="22"/>
        </w:rPr>
      </w:pPr>
      <w:r w:rsidRPr="00E33F0E">
        <w:rPr>
          <w:rFonts w:ascii="Barlow" w:hAnsi="Barlow"/>
          <w:sz w:val="22"/>
          <w:szCs w:val="22"/>
        </w:rPr>
        <w:t>Para ANFACO-CYTMA, el contexto no es nuevo: en 2021, la Unión Europea propuso el establecimiento de un límite de esfuerzo pesquero para esta especie. Aunque finalmente se adoptó un nivel muy superior al recomendado —y de carácter temporal— supuso un precedente hacia una futura transición a un sistema de cuotas de captura.</w:t>
      </w:r>
    </w:p>
    <w:p w14:paraId="519C752A" w14:textId="77777777" w:rsidR="00E33F0E" w:rsidRPr="00E33F0E" w:rsidRDefault="00E33F0E" w:rsidP="00E33F0E">
      <w:pPr>
        <w:pStyle w:val="NormalWeb"/>
        <w:spacing w:line="276" w:lineRule="auto"/>
        <w:jc w:val="both"/>
        <w:rPr>
          <w:rFonts w:ascii="Barlow" w:hAnsi="Barlow"/>
          <w:sz w:val="22"/>
          <w:szCs w:val="22"/>
        </w:rPr>
      </w:pPr>
      <w:r w:rsidRPr="00E33F0E">
        <w:rPr>
          <w:rFonts w:ascii="Barlow" w:hAnsi="Barlow"/>
          <w:sz w:val="22"/>
          <w:szCs w:val="22"/>
        </w:rPr>
        <w:t>En este sentido, ANFACO-CYTMA considera la próxima reunión una oportunidad decisiva y ha solicitado a la delegación de la Comisión Europea un apoyo firme y alineado con el trabajo conjunto con CALAMASUR.</w:t>
      </w:r>
    </w:p>
    <w:p w14:paraId="246C9A39" w14:textId="6C0CD422" w:rsidR="00E33F0E" w:rsidRDefault="00E33F0E" w:rsidP="00E33F0E">
      <w:pPr>
        <w:pBdr>
          <w:left w:val="single" w:sz="4" w:space="4" w:color="auto"/>
        </w:pBdr>
        <w:spacing w:line="276" w:lineRule="auto"/>
        <w:ind w:left="425" w:right="23"/>
        <w:jc w:val="both"/>
        <w:rPr>
          <w:rFonts w:ascii="Barlow" w:eastAsia="Times New Roman" w:hAnsi="Barlow" w:cs="Times New Roman"/>
          <w:i/>
          <w:iCs/>
          <w:color w:val="4472C4" w:themeColor="accent1"/>
          <w:sz w:val="22"/>
          <w:szCs w:val="22"/>
          <w:lang w:eastAsia="es-ES"/>
        </w:rPr>
      </w:pPr>
      <w:r w:rsidRPr="00E33F0E">
        <w:rPr>
          <w:rFonts w:ascii="Barlow" w:eastAsia="Times New Roman" w:hAnsi="Barlow" w:cs="Times New Roman"/>
          <w:i/>
          <w:iCs/>
          <w:color w:val="4472C4" w:themeColor="accent1"/>
          <w:sz w:val="22"/>
          <w:szCs w:val="22"/>
          <w:lang w:eastAsia="es-ES"/>
        </w:rPr>
        <w:t xml:space="preserve">“La industria conservera y transformadora trabaja activamente por la sostenibilidad de las pesquerías. En el caso del calamar gigante del Pacífico </w:t>
      </w:r>
      <w:r w:rsidR="0087397C">
        <w:rPr>
          <w:rFonts w:ascii="Barlow" w:eastAsia="Times New Roman" w:hAnsi="Barlow" w:cs="Times New Roman"/>
          <w:i/>
          <w:iCs/>
          <w:color w:val="4472C4" w:themeColor="accent1"/>
          <w:sz w:val="22"/>
          <w:szCs w:val="22"/>
          <w:lang w:eastAsia="es-ES"/>
        </w:rPr>
        <w:t>s</w:t>
      </w:r>
      <w:r w:rsidRPr="00E33F0E">
        <w:rPr>
          <w:rFonts w:ascii="Barlow" w:eastAsia="Times New Roman" w:hAnsi="Barlow" w:cs="Times New Roman"/>
          <w:i/>
          <w:iCs/>
          <w:color w:val="4472C4" w:themeColor="accent1"/>
          <w:sz w:val="22"/>
          <w:szCs w:val="22"/>
          <w:lang w:eastAsia="es-ES"/>
        </w:rPr>
        <w:t xml:space="preserve">ur, disponer de una recogida de datos eficaz y accesible, y avanzar en acciones de mejora del stock, es determinante junto a </w:t>
      </w:r>
      <w:r>
        <w:rPr>
          <w:rFonts w:ascii="Barlow" w:eastAsia="Times New Roman" w:hAnsi="Barlow" w:cs="Times New Roman"/>
          <w:i/>
          <w:iCs/>
          <w:color w:val="4472C4" w:themeColor="accent1"/>
          <w:sz w:val="22"/>
          <w:szCs w:val="22"/>
          <w:lang w:eastAsia="es-ES"/>
        </w:rPr>
        <w:t xml:space="preserve">otras </w:t>
      </w:r>
      <w:r w:rsidRPr="00E33F0E">
        <w:rPr>
          <w:rFonts w:ascii="Barlow" w:eastAsia="Times New Roman" w:hAnsi="Barlow" w:cs="Times New Roman"/>
          <w:i/>
          <w:iCs/>
          <w:color w:val="4472C4" w:themeColor="accent1"/>
          <w:sz w:val="22"/>
          <w:szCs w:val="22"/>
          <w:lang w:eastAsia="es-ES"/>
        </w:rPr>
        <w:t xml:space="preserve">medidas precautorias. Esta reunión reúne las condiciones necesarias para progresar hacia una gestión sostenible tras años de trabajo en la OROP-PS. La industria y los países productores estamos completamente alineados, y este convenio lo demuestra”, afirmó Roberto Alonso, </w:t>
      </w:r>
      <w:r w:rsidR="007731AF" w:rsidRPr="00E33F0E">
        <w:rPr>
          <w:rFonts w:ascii="Barlow" w:eastAsia="Times New Roman" w:hAnsi="Barlow" w:cs="Times New Roman"/>
          <w:i/>
          <w:iCs/>
          <w:color w:val="4472C4" w:themeColor="accent1"/>
          <w:sz w:val="22"/>
          <w:szCs w:val="22"/>
          <w:lang w:eastAsia="es-ES"/>
        </w:rPr>
        <w:t>secretario general</w:t>
      </w:r>
      <w:r w:rsidRPr="00E33F0E">
        <w:rPr>
          <w:rFonts w:ascii="Barlow" w:eastAsia="Times New Roman" w:hAnsi="Barlow" w:cs="Times New Roman"/>
          <w:i/>
          <w:iCs/>
          <w:color w:val="4472C4" w:themeColor="accent1"/>
          <w:sz w:val="22"/>
          <w:szCs w:val="22"/>
          <w:lang w:eastAsia="es-ES"/>
        </w:rPr>
        <w:t xml:space="preserve"> de ANFACO-CYTMA.</w:t>
      </w:r>
    </w:p>
    <w:p w14:paraId="7015411C" w14:textId="77777777" w:rsidR="00E33F0E" w:rsidRPr="00E33F0E" w:rsidRDefault="00E33F0E" w:rsidP="00E33F0E">
      <w:pPr>
        <w:pStyle w:val="NormalWeb"/>
        <w:spacing w:line="276" w:lineRule="auto"/>
        <w:jc w:val="both"/>
        <w:rPr>
          <w:rFonts w:ascii="Barlow" w:hAnsi="Barlow"/>
          <w:sz w:val="22"/>
          <w:szCs w:val="22"/>
        </w:rPr>
      </w:pPr>
      <w:r w:rsidRPr="00E33F0E">
        <w:rPr>
          <w:rFonts w:ascii="Barlow" w:hAnsi="Barlow"/>
          <w:sz w:val="22"/>
          <w:szCs w:val="22"/>
        </w:rPr>
        <w:t>El convenio contempla además el desarrollo de acciones conjuntas relacionadas con el intercambio de información técnica, científica y de mercado; la identificación y promoción del producto; el impulso de proyectos de innovación y transferencia tecnológica; y actividades de difusión y formación orientadas a incrementar el valor añadido.</w:t>
      </w:r>
    </w:p>
    <w:p w14:paraId="6B0BFE72" w14:textId="77777777" w:rsidR="00E33F0E" w:rsidRPr="00E33F0E" w:rsidRDefault="00E33F0E" w:rsidP="00E33F0E">
      <w:pPr>
        <w:pBdr>
          <w:left w:val="single" w:sz="4" w:space="4" w:color="auto"/>
        </w:pBdr>
        <w:spacing w:line="276" w:lineRule="auto"/>
        <w:ind w:left="425" w:right="23"/>
        <w:jc w:val="both"/>
        <w:rPr>
          <w:rFonts w:ascii="Barlow" w:eastAsia="Times New Roman" w:hAnsi="Barlow" w:cs="Times New Roman"/>
          <w:i/>
          <w:iCs/>
          <w:color w:val="4472C4" w:themeColor="accent1"/>
          <w:sz w:val="22"/>
          <w:szCs w:val="22"/>
          <w:lang w:eastAsia="es-ES"/>
        </w:rPr>
      </w:pPr>
      <w:r w:rsidRPr="00E33F0E">
        <w:rPr>
          <w:rFonts w:ascii="Barlow" w:eastAsia="Times New Roman" w:hAnsi="Barlow" w:cs="Times New Roman"/>
          <w:i/>
          <w:iCs/>
          <w:color w:val="4472C4" w:themeColor="accent1"/>
          <w:sz w:val="22"/>
          <w:szCs w:val="22"/>
          <w:lang w:eastAsia="es-ES"/>
        </w:rPr>
        <w:t>“Este convenio supone un avance determinante. ANFACO-CYTMA es una entidad de referencia internacional y pondrá a disposición de CALAMASUR su amplia capacidad tecnológica y de conocimiento. Vamos a mejorar de forma sostenible toda la cadena de valor y comercialización del recurso”, destacó Alfonso Miranda, presidente de CALAMASUR.</w:t>
      </w:r>
    </w:p>
    <w:p w14:paraId="20799D59" w14:textId="5B1A4ACF" w:rsidR="003C19E3" w:rsidRDefault="003C19E3" w:rsidP="00B01C95">
      <w:pPr>
        <w:pStyle w:val="NormalWeb"/>
        <w:spacing w:line="276" w:lineRule="auto"/>
        <w:jc w:val="both"/>
        <w:rPr>
          <w:rFonts w:ascii="Barlow" w:hAnsi="Barlow"/>
          <w:sz w:val="4"/>
          <w:szCs w:val="4"/>
        </w:rPr>
      </w:pPr>
    </w:p>
    <w:p w14:paraId="26B7133B" w14:textId="77777777" w:rsidR="00CD394A" w:rsidRDefault="00CD394A" w:rsidP="00B01C95">
      <w:pPr>
        <w:pStyle w:val="NormalWeb"/>
        <w:spacing w:line="276" w:lineRule="auto"/>
        <w:jc w:val="both"/>
        <w:rPr>
          <w:rFonts w:ascii="Barlow" w:hAnsi="Barlow"/>
          <w:sz w:val="4"/>
          <w:szCs w:val="4"/>
        </w:rPr>
      </w:pPr>
    </w:p>
    <w:p w14:paraId="66D99F95" w14:textId="77777777" w:rsidR="00DF0911" w:rsidRDefault="00DF0911" w:rsidP="00B01C95">
      <w:pPr>
        <w:pStyle w:val="NormalWeb"/>
        <w:spacing w:line="276" w:lineRule="auto"/>
        <w:jc w:val="both"/>
        <w:rPr>
          <w:rFonts w:ascii="Barlow" w:hAnsi="Barlow"/>
          <w:sz w:val="4"/>
          <w:szCs w:val="4"/>
        </w:rPr>
      </w:pPr>
    </w:p>
    <w:p w14:paraId="64AD767D" w14:textId="77777777" w:rsidR="00CD394A" w:rsidRPr="003C19E3" w:rsidRDefault="00CD394A" w:rsidP="00B01C95">
      <w:pPr>
        <w:pStyle w:val="NormalWeb"/>
        <w:spacing w:line="276" w:lineRule="auto"/>
        <w:jc w:val="both"/>
        <w:rPr>
          <w:rFonts w:ascii="Barlow" w:hAnsi="Barlow"/>
          <w:sz w:val="4"/>
          <w:szCs w:val="4"/>
        </w:rPr>
      </w:pPr>
    </w:p>
    <w:p w14:paraId="7177C35A" w14:textId="43FCBAD8" w:rsidR="000F51B4" w:rsidRPr="000F51B4" w:rsidRDefault="000F51B4" w:rsidP="009B3C73">
      <w:pPr>
        <w:pStyle w:val="NormalWeb"/>
        <w:pBdr>
          <w:bottom w:val="single" w:sz="4" w:space="1" w:color="auto"/>
        </w:pBdr>
        <w:spacing w:line="276" w:lineRule="auto"/>
        <w:jc w:val="both"/>
        <w:rPr>
          <w:rFonts w:ascii="Barlow" w:eastAsiaTheme="minorHAnsi" w:hAnsi="Barlow"/>
          <w:b/>
          <w:bCs/>
          <w:sz w:val="20"/>
          <w:szCs w:val="20"/>
        </w:rPr>
      </w:pPr>
      <w:r w:rsidRPr="000F51B4">
        <w:rPr>
          <w:rFonts w:ascii="Barlow" w:eastAsiaTheme="minorHAnsi" w:hAnsi="Barlow"/>
          <w:b/>
          <w:bCs/>
          <w:sz w:val="20"/>
          <w:szCs w:val="20"/>
        </w:rPr>
        <w:t>Sobre ANFACO-CYTMA</w:t>
      </w:r>
    </w:p>
    <w:p w14:paraId="1A8E3C73" w14:textId="0697FA41" w:rsidR="000F51B4" w:rsidRPr="000F51B4" w:rsidRDefault="000F51B4" w:rsidP="000F51B4">
      <w:pPr>
        <w:spacing w:line="276" w:lineRule="auto"/>
        <w:jc w:val="both"/>
        <w:rPr>
          <w:rFonts w:ascii="Barlow" w:eastAsiaTheme="minorHAnsi" w:hAnsi="Barlow"/>
          <w:bCs/>
          <w:sz w:val="20"/>
          <w:szCs w:val="20"/>
        </w:rPr>
      </w:pPr>
      <w:r w:rsidRPr="000F51B4">
        <w:rPr>
          <w:rFonts w:ascii="Barlow" w:eastAsiaTheme="minorHAnsi" w:hAnsi="Barlow"/>
          <w:bCs/>
          <w:sz w:val="20"/>
          <w:szCs w:val="20"/>
        </w:rPr>
        <w:t>ANFACO-CYTMA (Asociación Nacional de Fabricantes de Conservas y Productos Transformados de Pescados y Mariscos – Centro Nacional de Conocimiento y Tecnología para la Industria Marina, Acuícola y Alimentaria) es una organización singular del complejo mar-industria</w:t>
      </w:r>
      <w:r w:rsidR="007E174A">
        <w:rPr>
          <w:rFonts w:ascii="Barlow" w:eastAsiaTheme="minorHAnsi" w:hAnsi="Barlow"/>
          <w:bCs/>
          <w:sz w:val="20"/>
          <w:szCs w:val="20"/>
        </w:rPr>
        <w:t xml:space="preserve"> español</w:t>
      </w:r>
      <w:r w:rsidRPr="000F51B4">
        <w:rPr>
          <w:rFonts w:ascii="Barlow" w:eastAsiaTheme="minorHAnsi" w:hAnsi="Barlow"/>
          <w:bCs/>
          <w:sz w:val="20"/>
          <w:szCs w:val="20"/>
        </w:rPr>
        <w:t>, cuyos orígenes se remontan a 1904. Integra la representación empresarial del sector con un centro de referencia en conocimiento científico-tecnológico, al servicio de la competitividad y la sostenibilidad del tejido productivo.</w:t>
      </w:r>
    </w:p>
    <w:p w14:paraId="5DB1B8DB" w14:textId="77777777" w:rsidR="000F51B4" w:rsidRPr="000F51B4" w:rsidRDefault="000F51B4" w:rsidP="000F51B4">
      <w:pPr>
        <w:spacing w:line="276" w:lineRule="auto"/>
        <w:jc w:val="both"/>
        <w:rPr>
          <w:rFonts w:ascii="Barlow" w:eastAsiaTheme="minorHAnsi" w:hAnsi="Barlow"/>
          <w:bCs/>
          <w:sz w:val="20"/>
          <w:szCs w:val="20"/>
        </w:rPr>
      </w:pPr>
    </w:p>
    <w:p w14:paraId="060D826D" w14:textId="77777777" w:rsidR="000F51B4" w:rsidRDefault="000F51B4" w:rsidP="000F51B4">
      <w:pPr>
        <w:spacing w:line="276" w:lineRule="auto"/>
        <w:jc w:val="both"/>
        <w:rPr>
          <w:rFonts w:ascii="Barlow" w:eastAsiaTheme="minorHAnsi" w:hAnsi="Barlow"/>
          <w:bCs/>
          <w:sz w:val="20"/>
          <w:szCs w:val="20"/>
        </w:rPr>
      </w:pPr>
      <w:r w:rsidRPr="000F51B4">
        <w:rPr>
          <w:rFonts w:ascii="Barlow" w:eastAsiaTheme="minorHAnsi" w:hAnsi="Barlow"/>
          <w:bCs/>
          <w:sz w:val="20"/>
          <w:szCs w:val="20"/>
        </w:rPr>
        <w:t>Su misión principal es defender activamente los intereses de sus asociados ante administraciones, organizaciones multilaterales y todo tipo de entidades nacionales, europeas e internacionales. Al mismo tiempo, desarrolla soluciones de alto valor en ámbitos clave como la I+D+i, la calidad y seguridad alimentaria, la digitalización, la sostenibilidad, el asesoramiento técnico, la formación o la cooperación internacional. Actualmente, ANFACO-CYTMA agrupa a más de 250 empresas de todos los eslabones del complejo mar-industria alimentaria, que representan una facturación conjunta superior a los 14.000 millones de euros y más de 26.300 empleos en España.</w:t>
      </w:r>
    </w:p>
    <w:p w14:paraId="7E262E0C" w14:textId="22EAECB9" w:rsidR="009B3C73" w:rsidRPr="000F51B4" w:rsidRDefault="009B3C73" w:rsidP="009B3C73">
      <w:pPr>
        <w:pStyle w:val="NormalWeb"/>
        <w:pBdr>
          <w:bottom w:val="single" w:sz="4" w:space="1" w:color="auto"/>
        </w:pBdr>
        <w:spacing w:line="276" w:lineRule="auto"/>
        <w:jc w:val="both"/>
        <w:rPr>
          <w:rFonts w:ascii="Barlow" w:eastAsiaTheme="minorHAnsi" w:hAnsi="Barlow"/>
          <w:b/>
          <w:bCs/>
          <w:sz w:val="20"/>
          <w:szCs w:val="20"/>
        </w:rPr>
      </w:pPr>
      <w:r w:rsidRPr="000F51B4">
        <w:rPr>
          <w:rFonts w:ascii="Barlow" w:eastAsiaTheme="minorHAnsi" w:hAnsi="Barlow"/>
          <w:b/>
          <w:bCs/>
          <w:sz w:val="20"/>
          <w:szCs w:val="20"/>
        </w:rPr>
        <w:t xml:space="preserve">Sobre </w:t>
      </w:r>
      <w:r>
        <w:rPr>
          <w:rFonts w:ascii="Barlow" w:eastAsiaTheme="minorHAnsi" w:hAnsi="Barlow"/>
          <w:b/>
          <w:bCs/>
          <w:sz w:val="20"/>
          <w:szCs w:val="20"/>
        </w:rPr>
        <w:t>CALAMASUR</w:t>
      </w:r>
    </w:p>
    <w:p w14:paraId="184B74A6" w14:textId="4FC719E3" w:rsidR="009B3C73" w:rsidRDefault="009B3C73" w:rsidP="009B3C73">
      <w:pPr>
        <w:spacing w:line="276" w:lineRule="auto"/>
        <w:jc w:val="both"/>
        <w:rPr>
          <w:rFonts w:ascii="Barlow" w:eastAsiaTheme="minorHAnsi" w:hAnsi="Barlow"/>
          <w:bCs/>
          <w:sz w:val="20"/>
          <w:szCs w:val="20"/>
        </w:rPr>
      </w:pPr>
      <w:r w:rsidRPr="009B3C73">
        <w:rPr>
          <w:rFonts w:ascii="Barlow" w:eastAsiaTheme="minorHAnsi" w:hAnsi="Barlow"/>
          <w:bCs/>
          <w:sz w:val="20"/>
          <w:szCs w:val="20"/>
        </w:rPr>
        <w:t>CALAMASUR (Comité para el Manejo Sustentable del Calamar Gigante del Pacífico Sur) es una iniciativa internacional que reúne a actores líderes de la cadena de valor del calamar gigante (</w:t>
      </w:r>
      <w:r w:rsidRPr="00183B56">
        <w:rPr>
          <w:rFonts w:ascii="Barlow" w:eastAsiaTheme="minorHAnsi" w:hAnsi="Barlow"/>
          <w:bCs/>
          <w:i/>
          <w:iCs/>
          <w:sz w:val="20"/>
          <w:szCs w:val="20"/>
        </w:rPr>
        <w:t>Dosidicus gigas</w:t>
      </w:r>
      <w:r w:rsidRPr="009B3C73">
        <w:rPr>
          <w:rFonts w:ascii="Barlow" w:eastAsiaTheme="minorHAnsi" w:hAnsi="Barlow"/>
          <w:bCs/>
          <w:sz w:val="20"/>
          <w:szCs w:val="20"/>
        </w:rPr>
        <w:t>) —incluyendo</w:t>
      </w:r>
      <w:r w:rsidR="003F5862">
        <w:rPr>
          <w:rFonts w:ascii="Barlow" w:eastAsiaTheme="minorHAnsi" w:hAnsi="Barlow"/>
          <w:bCs/>
          <w:sz w:val="20"/>
          <w:szCs w:val="20"/>
        </w:rPr>
        <w:t xml:space="preserve"> los</w:t>
      </w:r>
      <w:r w:rsidRPr="009B3C73">
        <w:rPr>
          <w:rFonts w:ascii="Barlow" w:eastAsiaTheme="minorHAnsi" w:hAnsi="Barlow"/>
          <w:bCs/>
          <w:sz w:val="20"/>
          <w:szCs w:val="20"/>
        </w:rPr>
        <w:t xml:space="preserve"> sectores artesanal, industrial y de procesamiento— de </w:t>
      </w:r>
      <w:r w:rsidR="003F5862">
        <w:rPr>
          <w:rFonts w:ascii="Barlow" w:eastAsiaTheme="minorHAnsi" w:hAnsi="Barlow"/>
          <w:bCs/>
          <w:sz w:val="20"/>
          <w:szCs w:val="20"/>
        </w:rPr>
        <w:t>Perú,</w:t>
      </w:r>
      <w:r w:rsidRPr="009B3C73">
        <w:rPr>
          <w:rFonts w:ascii="Barlow" w:eastAsiaTheme="minorHAnsi" w:hAnsi="Barlow"/>
          <w:bCs/>
          <w:sz w:val="20"/>
          <w:szCs w:val="20"/>
        </w:rPr>
        <w:t>Chile, Ecuador</w:t>
      </w:r>
      <w:r w:rsidR="00D01ADF">
        <w:rPr>
          <w:rFonts w:ascii="Barlow" w:eastAsiaTheme="minorHAnsi" w:hAnsi="Barlow"/>
          <w:bCs/>
          <w:sz w:val="20"/>
          <w:szCs w:val="20"/>
        </w:rPr>
        <w:t xml:space="preserve"> y</w:t>
      </w:r>
      <w:r w:rsidRPr="009B3C73">
        <w:rPr>
          <w:rFonts w:ascii="Barlow" w:eastAsiaTheme="minorHAnsi" w:hAnsi="Barlow"/>
          <w:bCs/>
          <w:sz w:val="20"/>
          <w:szCs w:val="20"/>
        </w:rPr>
        <w:t xml:space="preserve"> México. Su objetivo es promover la sostenibilidad biológica, social y económica de esta pesquería mediante la cooperación entre los distintos eslabones productivos y la adopción de buenas prácticas de gestión.</w:t>
      </w:r>
    </w:p>
    <w:p w14:paraId="052CA812" w14:textId="77777777" w:rsidR="009B3C73" w:rsidRPr="009B3C73" w:rsidRDefault="009B3C73" w:rsidP="009B3C73">
      <w:pPr>
        <w:spacing w:line="276" w:lineRule="auto"/>
        <w:jc w:val="both"/>
        <w:rPr>
          <w:rFonts w:ascii="Barlow" w:eastAsiaTheme="minorHAnsi" w:hAnsi="Barlow"/>
          <w:bCs/>
          <w:sz w:val="20"/>
          <w:szCs w:val="20"/>
        </w:rPr>
      </w:pPr>
    </w:p>
    <w:p w14:paraId="38C5B55A" w14:textId="74EDE3C5" w:rsidR="00A94A73" w:rsidRPr="001B6BBE" w:rsidRDefault="009B3C73" w:rsidP="005167D4">
      <w:pPr>
        <w:spacing w:line="276" w:lineRule="auto"/>
        <w:jc w:val="both"/>
        <w:rPr>
          <w:rFonts w:ascii="Barlow" w:hAnsi="Barlow"/>
        </w:rPr>
      </w:pPr>
      <w:r w:rsidRPr="009B3C73">
        <w:rPr>
          <w:rFonts w:ascii="Barlow" w:eastAsiaTheme="minorHAnsi" w:hAnsi="Barlow"/>
          <w:bCs/>
          <w:sz w:val="20"/>
          <w:szCs w:val="20"/>
        </w:rPr>
        <w:t>El comité trabaja para impulsar un marco de manejo basado en evidencia científica, fortalecer la gobernanza del recurso y asegurar su explotación responsable a largo plazo. Cuenta con estatus de observador en la Organización Regional de Ordenación Pesquera del Pacífico Sur (OROP-PS), foro clave para la regulación de esta pesquería en alta mar, y promueve iniciativas orientadas a mejorar la investigación, el seguimiento, el control y la transparencia de la actividad.</w:t>
      </w:r>
    </w:p>
    <w:sectPr w:rsidR="00A94A73" w:rsidRPr="001B6BBE" w:rsidSect="003C19E3">
      <w:headerReference w:type="default" r:id="rId8"/>
      <w:pgSz w:w="11900" w:h="16820"/>
      <w:pgMar w:top="2835" w:right="1134" w:bottom="1701" w:left="1134"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0C718" w14:textId="77777777" w:rsidR="006C3A74" w:rsidRDefault="006C3A74" w:rsidP="00A94A73">
      <w:r>
        <w:separator/>
      </w:r>
    </w:p>
  </w:endnote>
  <w:endnote w:type="continuationSeparator" w:id="0">
    <w:p w14:paraId="0C5EE460" w14:textId="77777777" w:rsidR="006C3A74" w:rsidRDefault="006C3A74" w:rsidP="00A9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3340" w14:textId="77777777" w:rsidR="006C3A74" w:rsidRDefault="006C3A74" w:rsidP="00A94A73">
      <w:r>
        <w:separator/>
      </w:r>
    </w:p>
  </w:footnote>
  <w:footnote w:type="continuationSeparator" w:id="0">
    <w:p w14:paraId="327CF237" w14:textId="77777777" w:rsidR="006C3A74" w:rsidRDefault="006C3A74" w:rsidP="00A9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BFAF" w14:textId="6A1F91E3" w:rsidR="00A94A73" w:rsidRDefault="008017A7">
    <w:pPr>
      <w:pStyle w:val="Encabezado"/>
    </w:pPr>
    <w:r>
      <w:rPr>
        <w:noProof/>
      </w:rPr>
      <w:drawing>
        <wp:anchor distT="0" distB="0" distL="114300" distR="114300" simplePos="0" relativeHeight="251660288" behindDoc="0" locked="0" layoutInCell="1" allowOverlap="1" wp14:anchorId="582C9EC9" wp14:editId="4D9053CC">
          <wp:simplePos x="0" y="0"/>
          <wp:positionH relativeFrom="column">
            <wp:posOffset>4610100</wp:posOffset>
          </wp:positionH>
          <wp:positionV relativeFrom="paragraph">
            <wp:posOffset>189865</wp:posOffset>
          </wp:positionV>
          <wp:extent cx="1460500" cy="659130"/>
          <wp:effectExtent l="0" t="0" r="6350" b="7620"/>
          <wp:wrapThrough wrapText="bothSides">
            <wp:wrapPolygon edited="0">
              <wp:start x="0" y="0"/>
              <wp:lineTo x="0" y="21225"/>
              <wp:lineTo x="21412" y="21225"/>
              <wp:lineTo x="21412" y="0"/>
              <wp:lineTo x="0" y="0"/>
            </wp:wrapPolygon>
          </wp:wrapThrough>
          <wp:docPr id="1" name="Imagen 1" descr="Calamasur (@CALAMASUR)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amasur (@CALAMASUR) • Facebook"/>
                  <pic:cNvPicPr>
                    <a:picLocks noChangeAspect="1" noChangeArrowheads="1"/>
                  </pic:cNvPicPr>
                </pic:nvPicPr>
                <pic:blipFill rotWithShape="1">
                  <a:blip r:embed="rId1">
                    <a:extLst>
                      <a:ext uri="{28A0092B-C50C-407E-A947-70E740481C1C}">
                        <a14:useLocalDpi xmlns:a14="http://schemas.microsoft.com/office/drawing/2010/main" val="0"/>
                      </a:ext>
                    </a:extLst>
                  </a:blip>
                  <a:srcRect t="26885" b="27931"/>
                  <a:stretch>
                    <a:fillRect/>
                  </a:stretch>
                </pic:blipFill>
                <pic:spPr bwMode="auto">
                  <a:xfrm>
                    <a:off x="0" y="0"/>
                    <a:ext cx="1460500" cy="659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0FB2">
      <w:rPr>
        <w:noProof/>
      </w:rPr>
      <w:drawing>
        <wp:anchor distT="0" distB="0" distL="114300" distR="114300" simplePos="0" relativeHeight="251658240" behindDoc="1" locked="1" layoutInCell="1" allowOverlap="1" wp14:anchorId="3F052916" wp14:editId="32FEE28A">
          <wp:simplePos x="0" y="0"/>
          <wp:positionH relativeFrom="margin">
            <wp:posOffset>-716280</wp:posOffset>
          </wp:positionH>
          <wp:positionV relativeFrom="page">
            <wp:posOffset>9525</wp:posOffset>
          </wp:positionV>
          <wp:extent cx="7671435" cy="10798175"/>
          <wp:effectExtent l="0" t="0" r="0" b="0"/>
          <wp:wrapNone/>
          <wp:docPr id="442588465" name="Imagen 442588465"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7671435" cy="1079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D72"/>
    <w:multiLevelType w:val="hybridMultilevel"/>
    <w:tmpl w:val="E6640D3A"/>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AC441A1"/>
    <w:multiLevelType w:val="multilevel"/>
    <w:tmpl w:val="0456C5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9645A"/>
    <w:multiLevelType w:val="hybridMultilevel"/>
    <w:tmpl w:val="27F0A7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CFB06A2"/>
    <w:multiLevelType w:val="hybridMultilevel"/>
    <w:tmpl w:val="4740F856"/>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295391"/>
    <w:multiLevelType w:val="hybridMultilevel"/>
    <w:tmpl w:val="617090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AA635A2"/>
    <w:multiLevelType w:val="multilevel"/>
    <w:tmpl w:val="A518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586776">
    <w:abstractNumId w:val="4"/>
  </w:num>
  <w:num w:numId="2" w16cid:durableId="1393579081">
    <w:abstractNumId w:val="2"/>
  </w:num>
  <w:num w:numId="3" w16cid:durableId="1437755404">
    <w:abstractNumId w:val="0"/>
  </w:num>
  <w:num w:numId="4" w16cid:durableId="569852535">
    <w:abstractNumId w:val="3"/>
  </w:num>
  <w:num w:numId="5" w16cid:durableId="1269508181">
    <w:abstractNumId w:val="5"/>
  </w:num>
  <w:num w:numId="6" w16cid:durableId="1914393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73"/>
    <w:rsid w:val="00027A0F"/>
    <w:rsid w:val="00034BEB"/>
    <w:rsid w:val="00040264"/>
    <w:rsid w:val="00047EEE"/>
    <w:rsid w:val="000618CC"/>
    <w:rsid w:val="000661E1"/>
    <w:rsid w:val="00081466"/>
    <w:rsid w:val="00082345"/>
    <w:rsid w:val="00082AA0"/>
    <w:rsid w:val="000852AD"/>
    <w:rsid w:val="00092670"/>
    <w:rsid w:val="00097AAE"/>
    <w:rsid w:val="000B4C5C"/>
    <w:rsid w:val="000B69FB"/>
    <w:rsid w:val="000C029B"/>
    <w:rsid w:val="000C07C5"/>
    <w:rsid w:val="000D1CCA"/>
    <w:rsid w:val="000E2D98"/>
    <w:rsid w:val="000E3879"/>
    <w:rsid w:val="000F51B4"/>
    <w:rsid w:val="001008BC"/>
    <w:rsid w:val="00101FD1"/>
    <w:rsid w:val="00106FCE"/>
    <w:rsid w:val="001160F4"/>
    <w:rsid w:val="001258BF"/>
    <w:rsid w:val="00134B5E"/>
    <w:rsid w:val="001373A4"/>
    <w:rsid w:val="001473F3"/>
    <w:rsid w:val="0015506A"/>
    <w:rsid w:val="00157E5B"/>
    <w:rsid w:val="0016115B"/>
    <w:rsid w:val="001724D4"/>
    <w:rsid w:val="001743A7"/>
    <w:rsid w:val="001804B2"/>
    <w:rsid w:val="00180C2F"/>
    <w:rsid w:val="0018343A"/>
    <w:rsid w:val="00183B56"/>
    <w:rsid w:val="00185FFD"/>
    <w:rsid w:val="001937A4"/>
    <w:rsid w:val="00193BC2"/>
    <w:rsid w:val="00194201"/>
    <w:rsid w:val="001977F6"/>
    <w:rsid w:val="001A242B"/>
    <w:rsid w:val="001A29FA"/>
    <w:rsid w:val="001A4E52"/>
    <w:rsid w:val="001B07CD"/>
    <w:rsid w:val="001B6BBE"/>
    <w:rsid w:val="001C3C32"/>
    <w:rsid w:val="001C5168"/>
    <w:rsid w:val="001C717C"/>
    <w:rsid w:val="001E0210"/>
    <w:rsid w:val="001E120C"/>
    <w:rsid w:val="001E371A"/>
    <w:rsid w:val="001E414D"/>
    <w:rsid w:val="001F4229"/>
    <w:rsid w:val="001F46E9"/>
    <w:rsid w:val="002004CC"/>
    <w:rsid w:val="00204537"/>
    <w:rsid w:val="00204C8A"/>
    <w:rsid w:val="00207C2B"/>
    <w:rsid w:val="00220763"/>
    <w:rsid w:val="00221022"/>
    <w:rsid w:val="00235CB4"/>
    <w:rsid w:val="00236AE0"/>
    <w:rsid w:val="002423A8"/>
    <w:rsid w:val="00250D10"/>
    <w:rsid w:val="00264533"/>
    <w:rsid w:val="00265EDA"/>
    <w:rsid w:val="00266FAC"/>
    <w:rsid w:val="00273DFA"/>
    <w:rsid w:val="002769D7"/>
    <w:rsid w:val="00291074"/>
    <w:rsid w:val="00291ECB"/>
    <w:rsid w:val="0029314E"/>
    <w:rsid w:val="00294245"/>
    <w:rsid w:val="0029592E"/>
    <w:rsid w:val="002B1653"/>
    <w:rsid w:val="002C3BD7"/>
    <w:rsid w:val="002D4D83"/>
    <w:rsid w:val="002D7347"/>
    <w:rsid w:val="002E03BC"/>
    <w:rsid w:val="002E1986"/>
    <w:rsid w:val="002E6CED"/>
    <w:rsid w:val="002F0FBE"/>
    <w:rsid w:val="002F1DF2"/>
    <w:rsid w:val="002F3640"/>
    <w:rsid w:val="002F5524"/>
    <w:rsid w:val="003049B6"/>
    <w:rsid w:val="003213B2"/>
    <w:rsid w:val="003332B4"/>
    <w:rsid w:val="00333811"/>
    <w:rsid w:val="00355C0F"/>
    <w:rsid w:val="00362BE7"/>
    <w:rsid w:val="00375BC4"/>
    <w:rsid w:val="00376171"/>
    <w:rsid w:val="003859C9"/>
    <w:rsid w:val="00385AEB"/>
    <w:rsid w:val="00391460"/>
    <w:rsid w:val="003A1CD2"/>
    <w:rsid w:val="003A457B"/>
    <w:rsid w:val="003A6D85"/>
    <w:rsid w:val="003B1AC6"/>
    <w:rsid w:val="003B4367"/>
    <w:rsid w:val="003B6C40"/>
    <w:rsid w:val="003B7036"/>
    <w:rsid w:val="003C19E3"/>
    <w:rsid w:val="003D5962"/>
    <w:rsid w:val="003E0264"/>
    <w:rsid w:val="003E559C"/>
    <w:rsid w:val="003F2D77"/>
    <w:rsid w:val="003F333D"/>
    <w:rsid w:val="003F501F"/>
    <w:rsid w:val="003F5862"/>
    <w:rsid w:val="003F5996"/>
    <w:rsid w:val="004101E2"/>
    <w:rsid w:val="00412E48"/>
    <w:rsid w:val="00415756"/>
    <w:rsid w:val="004263ED"/>
    <w:rsid w:val="004407BC"/>
    <w:rsid w:val="004409BD"/>
    <w:rsid w:val="00442069"/>
    <w:rsid w:val="00445E2C"/>
    <w:rsid w:val="004550DC"/>
    <w:rsid w:val="004578B6"/>
    <w:rsid w:val="004607E2"/>
    <w:rsid w:val="004616BC"/>
    <w:rsid w:val="004624CE"/>
    <w:rsid w:val="00462F54"/>
    <w:rsid w:val="00470589"/>
    <w:rsid w:val="00474EE0"/>
    <w:rsid w:val="00480418"/>
    <w:rsid w:val="00481441"/>
    <w:rsid w:val="00481E9E"/>
    <w:rsid w:val="00482FBC"/>
    <w:rsid w:val="00483674"/>
    <w:rsid w:val="00491CC9"/>
    <w:rsid w:val="004A6A8D"/>
    <w:rsid w:val="004B2C50"/>
    <w:rsid w:val="004D7958"/>
    <w:rsid w:val="004E164B"/>
    <w:rsid w:val="004E5140"/>
    <w:rsid w:val="005004A1"/>
    <w:rsid w:val="00504A0A"/>
    <w:rsid w:val="0051360E"/>
    <w:rsid w:val="005167D4"/>
    <w:rsid w:val="00564ADF"/>
    <w:rsid w:val="00581D5C"/>
    <w:rsid w:val="00583903"/>
    <w:rsid w:val="005933E7"/>
    <w:rsid w:val="00596258"/>
    <w:rsid w:val="00597261"/>
    <w:rsid w:val="005A58DE"/>
    <w:rsid w:val="005A5A49"/>
    <w:rsid w:val="005A6783"/>
    <w:rsid w:val="005B23C1"/>
    <w:rsid w:val="005B59FD"/>
    <w:rsid w:val="005B6D11"/>
    <w:rsid w:val="005C2BD1"/>
    <w:rsid w:val="005D693F"/>
    <w:rsid w:val="005E5B30"/>
    <w:rsid w:val="00600844"/>
    <w:rsid w:val="00604027"/>
    <w:rsid w:val="00604601"/>
    <w:rsid w:val="00604A3B"/>
    <w:rsid w:val="00610E68"/>
    <w:rsid w:val="00623F19"/>
    <w:rsid w:val="0062788C"/>
    <w:rsid w:val="00635B3A"/>
    <w:rsid w:val="0063661D"/>
    <w:rsid w:val="00640FB2"/>
    <w:rsid w:val="00642CE0"/>
    <w:rsid w:val="00647827"/>
    <w:rsid w:val="00666565"/>
    <w:rsid w:val="00666668"/>
    <w:rsid w:val="00666F76"/>
    <w:rsid w:val="0067799D"/>
    <w:rsid w:val="00684DB3"/>
    <w:rsid w:val="0069259C"/>
    <w:rsid w:val="00692F7E"/>
    <w:rsid w:val="006966CD"/>
    <w:rsid w:val="006A0847"/>
    <w:rsid w:val="006A19D4"/>
    <w:rsid w:val="006B0DD8"/>
    <w:rsid w:val="006C0B79"/>
    <w:rsid w:val="006C1FE0"/>
    <w:rsid w:val="006C3A74"/>
    <w:rsid w:val="006D4D9F"/>
    <w:rsid w:val="006D55FF"/>
    <w:rsid w:val="006D5D49"/>
    <w:rsid w:val="006D6AFB"/>
    <w:rsid w:val="006E0E2B"/>
    <w:rsid w:val="006F3E22"/>
    <w:rsid w:val="00702485"/>
    <w:rsid w:val="00703884"/>
    <w:rsid w:val="00705672"/>
    <w:rsid w:val="00706535"/>
    <w:rsid w:val="00711309"/>
    <w:rsid w:val="007141A7"/>
    <w:rsid w:val="00714CB5"/>
    <w:rsid w:val="00717DBB"/>
    <w:rsid w:val="00722242"/>
    <w:rsid w:val="007222A4"/>
    <w:rsid w:val="007240EB"/>
    <w:rsid w:val="00732EC5"/>
    <w:rsid w:val="007438C2"/>
    <w:rsid w:val="007579D1"/>
    <w:rsid w:val="00760D5B"/>
    <w:rsid w:val="007657DF"/>
    <w:rsid w:val="007731AF"/>
    <w:rsid w:val="00773219"/>
    <w:rsid w:val="007909D6"/>
    <w:rsid w:val="00794563"/>
    <w:rsid w:val="00796423"/>
    <w:rsid w:val="007B115C"/>
    <w:rsid w:val="007C0DC3"/>
    <w:rsid w:val="007C1939"/>
    <w:rsid w:val="007C4922"/>
    <w:rsid w:val="007E174A"/>
    <w:rsid w:val="007E1F2E"/>
    <w:rsid w:val="007E6C5C"/>
    <w:rsid w:val="007F790E"/>
    <w:rsid w:val="008017A7"/>
    <w:rsid w:val="00810F7B"/>
    <w:rsid w:val="00814C18"/>
    <w:rsid w:val="0082259D"/>
    <w:rsid w:val="00827651"/>
    <w:rsid w:val="00831596"/>
    <w:rsid w:val="008335CE"/>
    <w:rsid w:val="0084062D"/>
    <w:rsid w:val="00840CE9"/>
    <w:rsid w:val="0084275C"/>
    <w:rsid w:val="0084421A"/>
    <w:rsid w:val="00864B3D"/>
    <w:rsid w:val="0087397C"/>
    <w:rsid w:val="008918F8"/>
    <w:rsid w:val="00891C5E"/>
    <w:rsid w:val="0089361E"/>
    <w:rsid w:val="008A6172"/>
    <w:rsid w:val="008A627C"/>
    <w:rsid w:val="008B226E"/>
    <w:rsid w:val="008B30C8"/>
    <w:rsid w:val="008D05D9"/>
    <w:rsid w:val="008D224A"/>
    <w:rsid w:val="008E0918"/>
    <w:rsid w:val="008E48B0"/>
    <w:rsid w:val="008E6171"/>
    <w:rsid w:val="008E730D"/>
    <w:rsid w:val="008F341D"/>
    <w:rsid w:val="008F7A3A"/>
    <w:rsid w:val="00910C69"/>
    <w:rsid w:val="0092231E"/>
    <w:rsid w:val="00933C00"/>
    <w:rsid w:val="009363ED"/>
    <w:rsid w:val="00937CE7"/>
    <w:rsid w:val="00951B66"/>
    <w:rsid w:val="00955DF8"/>
    <w:rsid w:val="00982692"/>
    <w:rsid w:val="00982F16"/>
    <w:rsid w:val="009A5A8F"/>
    <w:rsid w:val="009B05A3"/>
    <w:rsid w:val="009B3C73"/>
    <w:rsid w:val="009B5FB9"/>
    <w:rsid w:val="009B6EED"/>
    <w:rsid w:val="009C7A9D"/>
    <w:rsid w:val="009D2133"/>
    <w:rsid w:val="009D21B6"/>
    <w:rsid w:val="009D29EA"/>
    <w:rsid w:val="009D690A"/>
    <w:rsid w:val="009D70A6"/>
    <w:rsid w:val="009E3B61"/>
    <w:rsid w:val="00A03051"/>
    <w:rsid w:val="00A06B7C"/>
    <w:rsid w:val="00A07F47"/>
    <w:rsid w:val="00A15030"/>
    <w:rsid w:val="00A1651F"/>
    <w:rsid w:val="00A338C9"/>
    <w:rsid w:val="00A357C5"/>
    <w:rsid w:val="00A436CF"/>
    <w:rsid w:val="00A5026C"/>
    <w:rsid w:val="00A665D4"/>
    <w:rsid w:val="00A67B06"/>
    <w:rsid w:val="00A70BD2"/>
    <w:rsid w:val="00A721E5"/>
    <w:rsid w:val="00A74D64"/>
    <w:rsid w:val="00A757DF"/>
    <w:rsid w:val="00A870BE"/>
    <w:rsid w:val="00A92232"/>
    <w:rsid w:val="00A929FE"/>
    <w:rsid w:val="00A938EB"/>
    <w:rsid w:val="00A94A73"/>
    <w:rsid w:val="00AA1AF6"/>
    <w:rsid w:val="00AC0EB6"/>
    <w:rsid w:val="00AC1681"/>
    <w:rsid w:val="00AD7A91"/>
    <w:rsid w:val="00AE18A8"/>
    <w:rsid w:val="00AE3145"/>
    <w:rsid w:val="00B01C95"/>
    <w:rsid w:val="00B01E13"/>
    <w:rsid w:val="00B0628F"/>
    <w:rsid w:val="00B06D5E"/>
    <w:rsid w:val="00B17DBE"/>
    <w:rsid w:val="00B2075D"/>
    <w:rsid w:val="00B2226F"/>
    <w:rsid w:val="00B25B8D"/>
    <w:rsid w:val="00B26171"/>
    <w:rsid w:val="00B439E4"/>
    <w:rsid w:val="00B442E6"/>
    <w:rsid w:val="00B4523B"/>
    <w:rsid w:val="00B52CB7"/>
    <w:rsid w:val="00B563AC"/>
    <w:rsid w:val="00B66B2C"/>
    <w:rsid w:val="00B70FF9"/>
    <w:rsid w:val="00B73676"/>
    <w:rsid w:val="00B82A4D"/>
    <w:rsid w:val="00B92A80"/>
    <w:rsid w:val="00B9527C"/>
    <w:rsid w:val="00B95802"/>
    <w:rsid w:val="00BA6F6F"/>
    <w:rsid w:val="00BB3BF8"/>
    <w:rsid w:val="00BB3E1D"/>
    <w:rsid w:val="00BB4F31"/>
    <w:rsid w:val="00BC4660"/>
    <w:rsid w:val="00BD6C57"/>
    <w:rsid w:val="00BE36AD"/>
    <w:rsid w:val="00BF1289"/>
    <w:rsid w:val="00BF1B9A"/>
    <w:rsid w:val="00C03F02"/>
    <w:rsid w:val="00C0553A"/>
    <w:rsid w:val="00C0554B"/>
    <w:rsid w:val="00C1086E"/>
    <w:rsid w:val="00C17AD9"/>
    <w:rsid w:val="00C322F8"/>
    <w:rsid w:val="00C37A0B"/>
    <w:rsid w:val="00C43BC1"/>
    <w:rsid w:val="00C63825"/>
    <w:rsid w:val="00C654ED"/>
    <w:rsid w:val="00C72B4A"/>
    <w:rsid w:val="00C73756"/>
    <w:rsid w:val="00C7468D"/>
    <w:rsid w:val="00C75047"/>
    <w:rsid w:val="00C84CF8"/>
    <w:rsid w:val="00C94ABD"/>
    <w:rsid w:val="00CB4F0D"/>
    <w:rsid w:val="00CC3E89"/>
    <w:rsid w:val="00CC6C4C"/>
    <w:rsid w:val="00CD1561"/>
    <w:rsid w:val="00CD394A"/>
    <w:rsid w:val="00CD60DC"/>
    <w:rsid w:val="00CE04DE"/>
    <w:rsid w:val="00CE4C25"/>
    <w:rsid w:val="00CF5235"/>
    <w:rsid w:val="00D01ADF"/>
    <w:rsid w:val="00D0686C"/>
    <w:rsid w:val="00D07227"/>
    <w:rsid w:val="00D123D5"/>
    <w:rsid w:val="00D13581"/>
    <w:rsid w:val="00D265FF"/>
    <w:rsid w:val="00D30544"/>
    <w:rsid w:val="00D31B0E"/>
    <w:rsid w:val="00D36841"/>
    <w:rsid w:val="00D46892"/>
    <w:rsid w:val="00D47703"/>
    <w:rsid w:val="00D47926"/>
    <w:rsid w:val="00D54E41"/>
    <w:rsid w:val="00D5579C"/>
    <w:rsid w:val="00D61D64"/>
    <w:rsid w:val="00D66D48"/>
    <w:rsid w:val="00D715A7"/>
    <w:rsid w:val="00D76517"/>
    <w:rsid w:val="00D76FB5"/>
    <w:rsid w:val="00D77D9C"/>
    <w:rsid w:val="00D84787"/>
    <w:rsid w:val="00D84F0B"/>
    <w:rsid w:val="00D972AE"/>
    <w:rsid w:val="00D97AAD"/>
    <w:rsid w:val="00DB1DD7"/>
    <w:rsid w:val="00DC0940"/>
    <w:rsid w:val="00DC2F48"/>
    <w:rsid w:val="00DD1EBC"/>
    <w:rsid w:val="00DF0911"/>
    <w:rsid w:val="00DF2437"/>
    <w:rsid w:val="00E00B35"/>
    <w:rsid w:val="00E064D5"/>
    <w:rsid w:val="00E130CB"/>
    <w:rsid w:val="00E1769D"/>
    <w:rsid w:val="00E33F0E"/>
    <w:rsid w:val="00E417D0"/>
    <w:rsid w:val="00E457D2"/>
    <w:rsid w:val="00E53D95"/>
    <w:rsid w:val="00E66C62"/>
    <w:rsid w:val="00E711C4"/>
    <w:rsid w:val="00E74C5F"/>
    <w:rsid w:val="00E75A6A"/>
    <w:rsid w:val="00E960C1"/>
    <w:rsid w:val="00EA0991"/>
    <w:rsid w:val="00EA6300"/>
    <w:rsid w:val="00EB732E"/>
    <w:rsid w:val="00EC2341"/>
    <w:rsid w:val="00EC2DA7"/>
    <w:rsid w:val="00ED4217"/>
    <w:rsid w:val="00ED50AF"/>
    <w:rsid w:val="00EF0786"/>
    <w:rsid w:val="00EF0BFD"/>
    <w:rsid w:val="00EF112D"/>
    <w:rsid w:val="00EF6499"/>
    <w:rsid w:val="00F02991"/>
    <w:rsid w:val="00F215BE"/>
    <w:rsid w:val="00F52C41"/>
    <w:rsid w:val="00F66422"/>
    <w:rsid w:val="00F7191C"/>
    <w:rsid w:val="00F83B8D"/>
    <w:rsid w:val="00F86E42"/>
    <w:rsid w:val="00F96D7F"/>
    <w:rsid w:val="00FA3C6E"/>
    <w:rsid w:val="00FA3F3D"/>
    <w:rsid w:val="00FA5907"/>
    <w:rsid w:val="00FD1A9D"/>
    <w:rsid w:val="00FD5EFD"/>
    <w:rsid w:val="00FE481C"/>
    <w:rsid w:val="00FE5416"/>
    <w:rsid w:val="00FF12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A9372"/>
  <w15:chartTrackingRefBased/>
  <w15:docId w15:val="{5FB83053-B7C5-4113-8BA6-2951322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A73"/>
    <w:pPr>
      <w:tabs>
        <w:tab w:val="center" w:pos="4419"/>
        <w:tab w:val="right" w:pos="8838"/>
      </w:tabs>
    </w:pPr>
  </w:style>
  <w:style w:type="character" w:customStyle="1" w:styleId="EncabezadoCar">
    <w:name w:val="Encabezado Car"/>
    <w:basedOn w:val="Fuentedeprrafopredeter"/>
    <w:link w:val="Encabezado"/>
    <w:uiPriority w:val="99"/>
    <w:rsid w:val="00A94A73"/>
  </w:style>
  <w:style w:type="paragraph" w:styleId="Piedepgina">
    <w:name w:val="footer"/>
    <w:basedOn w:val="Normal"/>
    <w:link w:val="PiedepginaCar"/>
    <w:uiPriority w:val="99"/>
    <w:unhideWhenUsed/>
    <w:rsid w:val="00A94A73"/>
    <w:pPr>
      <w:tabs>
        <w:tab w:val="center" w:pos="4419"/>
        <w:tab w:val="right" w:pos="8838"/>
      </w:tabs>
    </w:pPr>
  </w:style>
  <w:style w:type="character" w:customStyle="1" w:styleId="PiedepginaCar">
    <w:name w:val="Pie de página Car"/>
    <w:basedOn w:val="Fuentedeprrafopredeter"/>
    <w:link w:val="Piedepgina"/>
    <w:uiPriority w:val="99"/>
    <w:rsid w:val="00A94A73"/>
  </w:style>
  <w:style w:type="character" w:styleId="Hipervnculo">
    <w:name w:val="Hyperlink"/>
    <w:basedOn w:val="Fuentedeprrafopredeter"/>
    <w:uiPriority w:val="99"/>
    <w:unhideWhenUsed/>
    <w:rsid w:val="009363ED"/>
    <w:rPr>
      <w:color w:val="0563C1" w:themeColor="hyperlink"/>
      <w:u w:val="single"/>
    </w:rPr>
  </w:style>
  <w:style w:type="character" w:styleId="Mencinsinresolver">
    <w:name w:val="Unresolved Mention"/>
    <w:basedOn w:val="Fuentedeprrafopredeter"/>
    <w:uiPriority w:val="99"/>
    <w:semiHidden/>
    <w:unhideWhenUsed/>
    <w:rsid w:val="00B442E6"/>
    <w:rPr>
      <w:color w:val="605E5C"/>
      <w:shd w:val="clear" w:color="auto" w:fill="E1DFDD"/>
    </w:rPr>
  </w:style>
  <w:style w:type="paragraph" w:styleId="Textonotapie">
    <w:name w:val="footnote text"/>
    <w:basedOn w:val="Normal"/>
    <w:link w:val="TextonotapieCar"/>
    <w:uiPriority w:val="99"/>
    <w:semiHidden/>
    <w:unhideWhenUsed/>
    <w:rsid w:val="00FE481C"/>
    <w:rPr>
      <w:sz w:val="20"/>
      <w:szCs w:val="20"/>
    </w:rPr>
  </w:style>
  <w:style w:type="character" w:customStyle="1" w:styleId="TextonotapieCar">
    <w:name w:val="Texto nota pie Car"/>
    <w:basedOn w:val="Fuentedeprrafopredeter"/>
    <w:link w:val="Textonotapie"/>
    <w:uiPriority w:val="99"/>
    <w:semiHidden/>
    <w:rsid w:val="00FE481C"/>
    <w:rPr>
      <w:rFonts w:eastAsiaTheme="minorEastAsia"/>
      <w:sz w:val="20"/>
      <w:szCs w:val="20"/>
    </w:rPr>
  </w:style>
  <w:style w:type="character" w:styleId="Refdenotaalpie">
    <w:name w:val="footnote reference"/>
    <w:basedOn w:val="Fuentedeprrafopredeter"/>
    <w:uiPriority w:val="99"/>
    <w:semiHidden/>
    <w:unhideWhenUsed/>
    <w:rsid w:val="00FE481C"/>
    <w:rPr>
      <w:vertAlign w:val="superscript"/>
    </w:rPr>
  </w:style>
  <w:style w:type="paragraph" w:styleId="Revisin">
    <w:name w:val="Revision"/>
    <w:hidden/>
    <w:uiPriority w:val="99"/>
    <w:semiHidden/>
    <w:rsid w:val="000661E1"/>
    <w:rPr>
      <w:rFonts w:eastAsiaTheme="minorEastAsia"/>
    </w:rPr>
  </w:style>
  <w:style w:type="character" w:styleId="Hipervnculovisitado">
    <w:name w:val="FollowedHyperlink"/>
    <w:basedOn w:val="Fuentedeprrafopredeter"/>
    <w:uiPriority w:val="99"/>
    <w:semiHidden/>
    <w:unhideWhenUsed/>
    <w:rsid w:val="00157E5B"/>
    <w:rPr>
      <w:color w:val="954F72" w:themeColor="followedHyperlink"/>
      <w:u w:val="single"/>
    </w:rPr>
  </w:style>
  <w:style w:type="paragraph" w:styleId="NormalWeb">
    <w:name w:val="Normal (Web)"/>
    <w:basedOn w:val="Normal"/>
    <w:uiPriority w:val="99"/>
    <w:unhideWhenUsed/>
    <w:rsid w:val="00A74D64"/>
    <w:pPr>
      <w:spacing w:before="100" w:beforeAutospacing="1" w:after="100" w:afterAutospacing="1"/>
    </w:pPr>
    <w:rPr>
      <w:rFonts w:ascii="Times New Roman" w:eastAsia="Times New Roman" w:hAnsi="Times New Roman" w:cs="Times New Roman"/>
      <w:lang w:eastAsia="es-ES"/>
    </w:rPr>
  </w:style>
  <w:style w:type="character" w:styleId="Fuerte">
    <w:name w:val="Strong"/>
    <w:basedOn w:val="Fuentedeprrafopredeter"/>
    <w:uiPriority w:val="22"/>
    <w:qFormat/>
    <w:rsid w:val="00A74D64"/>
    <w:rPr>
      <w:b/>
      <w:bCs/>
    </w:rPr>
  </w:style>
  <w:style w:type="character" w:styleId="nfasis">
    <w:name w:val="Emphasis"/>
    <w:basedOn w:val="Fuentedeprrafopredeter"/>
    <w:uiPriority w:val="20"/>
    <w:qFormat/>
    <w:rsid w:val="00A74D64"/>
    <w:rPr>
      <w:i/>
      <w:iCs/>
    </w:rPr>
  </w:style>
  <w:style w:type="character" w:styleId="Refdecomentario">
    <w:name w:val="annotation reference"/>
    <w:basedOn w:val="Fuentedeprrafopredeter"/>
    <w:uiPriority w:val="99"/>
    <w:semiHidden/>
    <w:unhideWhenUsed/>
    <w:rsid w:val="00B9527C"/>
    <w:rPr>
      <w:sz w:val="16"/>
      <w:szCs w:val="16"/>
    </w:rPr>
  </w:style>
  <w:style w:type="paragraph" w:styleId="Textocomentario">
    <w:name w:val="annotation text"/>
    <w:basedOn w:val="Normal"/>
    <w:link w:val="TextocomentarioCar"/>
    <w:uiPriority w:val="99"/>
    <w:unhideWhenUsed/>
    <w:rsid w:val="00B9527C"/>
    <w:rPr>
      <w:sz w:val="20"/>
      <w:szCs w:val="20"/>
    </w:rPr>
  </w:style>
  <w:style w:type="character" w:customStyle="1" w:styleId="TextocomentarioCar">
    <w:name w:val="Texto comentario Car"/>
    <w:basedOn w:val="Fuentedeprrafopredeter"/>
    <w:link w:val="Textocomentario"/>
    <w:uiPriority w:val="99"/>
    <w:rsid w:val="00B9527C"/>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B9527C"/>
    <w:rPr>
      <w:b/>
      <w:bCs/>
    </w:rPr>
  </w:style>
  <w:style w:type="character" w:customStyle="1" w:styleId="AsuntodelcomentarioCar">
    <w:name w:val="Asunto del comentario Car"/>
    <w:basedOn w:val="TextocomentarioCar"/>
    <w:link w:val="Asuntodelcomentario"/>
    <w:uiPriority w:val="99"/>
    <w:semiHidden/>
    <w:rsid w:val="00B9527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020A4-B4B2-4ED6-9742-228AEFE7F54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1063</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info@carlosveiga.es</dc:creator>
  <cp:keywords/>
  <dc:description/>
  <cp:lastModifiedBy>ALFONSO MIRANDA</cp:lastModifiedBy>
  <cp:revision>2</cp:revision>
  <cp:lastPrinted>2025-12-18T12:24:00Z</cp:lastPrinted>
  <dcterms:created xsi:type="dcterms:W3CDTF">2026-02-25T16:59:00Z</dcterms:created>
  <dcterms:modified xsi:type="dcterms:W3CDTF">2026-02-25T16:59:00Z</dcterms:modified>
</cp:coreProperties>
</file>