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04E5" w14:textId="65853D87" w:rsidR="00B50825" w:rsidRPr="00B50825" w:rsidRDefault="00B50825" w:rsidP="00B50825">
      <w:pPr>
        <w:jc w:val="center"/>
        <w:rPr>
          <w:b/>
          <w:bCs/>
          <w:u w:val="single"/>
        </w:rPr>
      </w:pPr>
      <w:r w:rsidRPr="00B50825">
        <w:rPr>
          <w:b/>
          <w:bCs/>
          <w:u w:val="single"/>
        </w:rPr>
        <w:t>NOTA DE PRENSA</w:t>
      </w:r>
    </w:p>
    <w:p w14:paraId="2D694B2E" w14:textId="77777777" w:rsidR="00B50825" w:rsidRDefault="00B50825" w:rsidP="00B50825">
      <w:pPr>
        <w:jc w:val="center"/>
      </w:pPr>
    </w:p>
    <w:p w14:paraId="3185CEE9" w14:textId="77777777" w:rsidR="00B50825" w:rsidRPr="00B50825" w:rsidRDefault="00B50825" w:rsidP="00B50825">
      <w:pPr>
        <w:jc w:val="center"/>
        <w:rPr>
          <w:b/>
          <w:bCs/>
        </w:rPr>
      </w:pPr>
      <w:r w:rsidRPr="00B50825">
        <w:rPr>
          <w:b/>
          <w:bCs/>
        </w:rPr>
        <w:t xml:space="preserve">Perú consolida más de US$ 1,880 millones en exportaciones hidrobiológicas gracias a certificación sanitaria de </w:t>
      </w:r>
      <w:proofErr w:type="spellStart"/>
      <w:r w:rsidRPr="00B50825">
        <w:rPr>
          <w:b/>
          <w:bCs/>
        </w:rPr>
        <w:t>Sanipes</w:t>
      </w:r>
      <w:proofErr w:type="spellEnd"/>
    </w:p>
    <w:p w14:paraId="755F9516" w14:textId="77777777" w:rsidR="00B50825" w:rsidRDefault="00B50825" w:rsidP="00B50825">
      <w:pPr>
        <w:jc w:val="center"/>
      </w:pPr>
    </w:p>
    <w:p w14:paraId="6EE76207" w14:textId="145392FA" w:rsidR="00B50825" w:rsidRPr="00B50825" w:rsidRDefault="00B50825" w:rsidP="00B50825">
      <w:pPr>
        <w:jc w:val="center"/>
        <w:rPr>
          <w:i/>
          <w:iCs/>
        </w:rPr>
      </w:pPr>
      <w:r w:rsidRPr="00B50825">
        <w:rPr>
          <w:i/>
          <w:iCs/>
        </w:rPr>
        <w:t>Certificaciones permitieron que casi 200 empresas coloquen más de 572 mil toneladas de productos como pota, jurel, langostino, anchoveta y concha de abanico en mercados internacionales</w:t>
      </w:r>
      <w:r>
        <w:rPr>
          <w:i/>
          <w:iCs/>
        </w:rPr>
        <w:t>.</w:t>
      </w:r>
    </w:p>
    <w:p w14:paraId="3DA89C41" w14:textId="77777777" w:rsidR="00B50825" w:rsidRDefault="00B50825" w:rsidP="00B50825"/>
    <w:p w14:paraId="087F513E" w14:textId="77777777" w:rsidR="00B50825" w:rsidRDefault="00B50825" w:rsidP="00D542DB">
      <w:pPr>
        <w:jc w:val="both"/>
      </w:pPr>
      <w:r>
        <w:t>En 2025, el Perú reafirmó su posicionamiento como potencia pesquera y acuícola en el mercado internacional, al superar los US$ 1,880 millones en exportaciones hidrobiológicas, resultado impulsado por las certificaciones sanitarias emitidas por la Autoridad Nacional de Sanidad e Inocuidad en Pesca y Acuicultura (</w:t>
      </w:r>
      <w:proofErr w:type="spellStart"/>
      <w:r>
        <w:t>Sanipes</w:t>
      </w:r>
      <w:proofErr w:type="spellEnd"/>
      <w:r>
        <w:t>), entidad adscrita al Ministerio de la Producción (PRODUCE).</w:t>
      </w:r>
    </w:p>
    <w:p w14:paraId="175C7305" w14:textId="77777777" w:rsidR="00B50825" w:rsidRDefault="00B50825" w:rsidP="00D542DB">
      <w:pPr>
        <w:jc w:val="both"/>
      </w:pPr>
    </w:p>
    <w:p w14:paraId="50B542D5" w14:textId="77777777" w:rsidR="00B50825" w:rsidRDefault="00B50825" w:rsidP="00D542DB">
      <w:pPr>
        <w:jc w:val="both"/>
      </w:pPr>
      <w:r>
        <w:t>Estas certificaciones permitieron que 191 empresas peruanas exporten 572,848.72 toneladas métricas de productos hidrobiológicos, garantizando el cumplimiento de los estándares sanitarios exigidos por los principales mercados del mundo.</w:t>
      </w:r>
    </w:p>
    <w:p w14:paraId="54D1D22D" w14:textId="77777777" w:rsidR="00B50825" w:rsidRDefault="00B50825" w:rsidP="00D542DB">
      <w:pPr>
        <w:jc w:val="both"/>
      </w:pPr>
    </w:p>
    <w:p w14:paraId="1078D84D" w14:textId="77777777" w:rsidR="00B50825" w:rsidRDefault="00B50825" w:rsidP="00D542DB">
      <w:pPr>
        <w:jc w:val="both"/>
      </w:pPr>
      <w:r>
        <w:t>El ministro de la Producción, César Quispe, destacó el rol estratégico de la sanidad en el crecimiento del sector. “Las certificaciones sanitarias no solo garantizan la inocuidad de nuestros productos, sino que son una herramienta importante para abrir y consolidar mercados internacionales, generando más oportunidades para nuestras empresas y trabajadores del sector”, afirmó.</w:t>
      </w:r>
    </w:p>
    <w:p w14:paraId="070EAE2F" w14:textId="77777777" w:rsidR="00B50825" w:rsidRDefault="00B50825" w:rsidP="00D542DB">
      <w:pPr>
        <w:jc w:val="both"/>
      </w:pPr>
    </w:p>
    <w:p w14:paraId="593CFAFE" w14:textId="77777777" w:rsidR="00B50825" w:rsidRDefault="00B50825" w:rsidP="00D542DB">
      <w:pPr>
        <w:jc w:val="both"/>
      </w:pPr>
      <w:r>
        <w:t>La pota lideró las exportaciones con 444,110.50 toneladas métricas, alcanzando un valor superior a US$ 1,409 millones, con destinos como China, España y Corea. Le siguió el jurel, con envíos por 62,469.22 toneladas métricas valorizadas en más de US$ 64 millones, principalmente hacia países de África como Costa de Marfil, Ghana y Nigeria.</w:t>
      </w:r>
    </w:p>
    <w:p w14:paraId="1375CBC7" w14:textId="77777777" w:rsidR="00B50825" w:rsidRDefault="00B50825" w:rsidP="00D542DB">
      <w:pPr>
        <w:jc w:val="both"/>
      </w:pPr>
    </w:p>
    <w:p w14:paraId="29173B2E" w14:textId="77777777" w:rsidR="00B50825" w:rsidRDefault="00B50825" w:rsidP="00D542DB">
      <w:pPr>
        <w:jc w:val="both"/>
      </w:pPr>
      <w:r>
        <w:t>En tanto, el langostino registró exportaciones por 26,310.85 toneladas métricas, superando los US$ 216 millones, con mercados clave como Estados Unidos, Corea del Sur y España. Por su parte, la concha de abanico alcanzó un valor de US$ 183 millones, mientras que la anchoveta sumó más de US$ 5 millones en exportaciones.</w:t>
      </w:r>
    </w:p>
    <w:p w14:paraId="7B461BCA" w14:textId="77777777" w:rsidR="00B50825" w:rsidRDefault="00B50825" w:rsidP="00D542DB">
      <w:pPr>
        <w:jc w:val="both"/>
      </w:pPr>
    </w:p>
    <w:p w14:paraId="4BA50A8B" w14:textId="77777777" w:rsidR="00B50825" w:rsidRDefault="00B50825" w:rsidP="00D542DB">
      <w:pPr>
        <w:jc w:val="both"/>
      </w:pPr>
      <w:r>
        <w:t>El ministro Quispe Luján subrayó además el impacto directo de estas cifras en la economía nacional: “El fortalecimiento del sistema sanitario pesquero y acuícola permite que más productos peruanos lleguen al mundo con estándares de calidad reconocidos, impulsando la competitividad del país y contribuyendo al crecimiento económico y al empleo formal”, precisó.</w:t>
      </w:r>
    </w:p>
    <w:p w14:paraId="15926192" w14:textId="77777777" w:rsidR="00B50825" w:rsidRDefault="00B50825" w:rsidP="00D542DB">
      <w:pPr>
        <w:jc w:val="both"/>
      </w:pPr>
    </w:p>
    <w:p w14:paraId="2BB5E72C" w14:textId="77777777" w:rsidR="00B50825" w:rsidRDefault="00B50825" w:rsidP="00D542DB">
      <w:pPr>
        <w:jc w:val="both"/>
      </w:pPr>
      <w:r>
        <w:t xml:space="preserve">Las certificaciones sanitarias emitidas por </w:t>
      </w:r>
      <w:proofErr w:type="spellStart"/>
      <w:r>
        <w:t>Sanipes</w:t>
      </w:r>
      <w:proofErr w:type="spellEnd"/>
      <w:r>
        <w:t xml:space="preserve"> garantizan que los productos hidrobiológicos cumplen con los requisitos exigidos por los países de destino, asegurando su inocuidad y protegiendo la salud pública, lo que resulta fundamental para el acceso y permanencia en mercados internacionales cada vez más exigentes.</w:t>
      </w:r>
    </w:p>
    <w:p w14:paraId="3384E834" w14:textId="77777777" w:rsidR="00D542DB" w:rsidRDefault="00D542DB" w:rsidP="00D542DB">
      <w:pPr>
        <w:jc w:val="both"/>
      </w:pPr>
    </w:p>
    <w:p w14:paraId="7C72413F" w14:textId="77777777" w:rsidR="00B50825" w:rsidRDefault="00B50825" w:rsidP="00B50825"/>
    <w:p w14:paraId="4730E100" w14:textId="28131F6F" w:rsidR="008C19AD" w:rsidRDefault="00B50825" w:rsidP="00D542DB">
      <w:pPr>
        <w:jc w:val="right"/>
      </w:pPr>
      <w:r w:rsidRPr="00D542DB">
        <w:rPr>
          <w:b/>
          <w:bCs/>
        </w:rPr>
        <w:t>Lima, 27 de marzo de 2026</w:t>
      </w:r>
    </w:p>
    <w:sectPr w:rsidR="008C19AD" w:rsidSect="001B75D7">
      <w:headerReference w:type="default" r:id="rId7"/>
      <w:footerReference w:type="default" r:id="rId8"/>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9491" w14:textId="77777777" w:rsidR="00AA703B" w:rsidRDefault="00AA703B">
      <w:r>
        <w:separator/>
      </w:r>
    </w:p>
  </w:endnote>
  <w:endnote w:type="continuationSeparator" w:id="0">
    <w:p w14:paraId="17221C61" w14:textId="77777777" w:rsidR="00AA703B" w:rsidRDefault="00AA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9A2" w14:textId="247532A1" w:rsidR="00B210E8" w:rsidRDefault="001B75D7" w:rsidP="00B210E8">
    <w:pPr>
      <w:pStyle w:val="Piedepgina"/>
    </w:pPr>
    <w:r>
      <w:rPr>
        <w:noProof/>
      </w:rPr>
      <mc:AlternateContent>
        <mc:Choice Requires="wps">
          <w:drawing>
            <wp:anchor distT="45720" distB="45720" distL="114300" distR="114300" simplePos="0" relativeHeight="251666432" behindDoc="0" locked="0" layoutInCell="1" allowOverlap="1" wp14:anchorId="75B114CE" wp14:editId="2400B21E">
              <wp:simplePos x="0" y="0"/>
              <wp:positionH relativeFrom="column">
                <wp:posOffset>2189480</wp:posOffset>
              </wp:positionH>
              <wp:positionV relativeFrom="paragraph">
                <wp:posOffset>-86995</wp:posOffset>
              </wp:positionV>
              <wp:extent cx="3670935" cy="342900"/>
              <wp:effectExtent l="0" t="0" r="5715" b="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114CE" id="_x0000_t202" coordsize="21600,21600" o:spt="202" path="m,l,21600r21600,l21600,xe">
              <v:stroke joinstyle="miter"/>
              <v:path gradientshapeok="t" o:connecttype="rect"/>
            </v:shapetype>
            <v:shape id="Cuadro de texto 2" o:spid="_x0000_s1026" type="#_x0000_t202" style="position:absolute;margin-left:172.4pt;margin-top:-6.85pt;width:289.0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" stroked="f">
              <v:path arrowok="t"/>
              <v:textbo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1" locked="0" layoutInCell="1" allowOverlap="1" wp14:anchorId="0BD6D48A" wp14:editId="204E6F4D">
              <wp:simplePos x="0" y="0"/>
              <wp:positionH relativeFrom="margin">
                <wp:posOffset>-248919</wp:posOffset>
              </wp:positionH>
              <wp:positionV relativeFrom="paragraph">
                <wp:posOffset>-86995</wp:posOffset>
              </wp:positionV>
              <wp:extent cx="1619250" cy="519430"/>
              <wp:effectExtent l="0" t="0" r="0" b="0"/>
              <wp:wrapNone/>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6D48A" id="_x0000_s1027" type="#_x0000_t202" style="position:absolute;margin-left:-19.6pt;margin-top:-6.85pt;width:127.5pt;height:40.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" stroked="f">
              <v:path arrowok="t"/>
              <v:textbo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v:textbox>
              <w10:wrap anchorx="margin"/>
            </v:shape>
          </w:pict>
        </mc:Fallback>
      </mc:AlternateContent>
    </w:r>
  </w:p>
  <w:p w14:paraId="5E52BB20" w14:textId="77777777" w:rsidR="00B210E8" w:rsidRDefault="00B210E8" w:rsidP="00B210E8">
    <w:pPr>
      <w:pStyle w:val="Piedepgina"/>
    </w:pPr>
  </w:p>
  <w:p w14:paraId="26E19B36"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91AB" w14:textId="77777777" w:rsidR="00AA703B" w:rsidRDefault="00AA703B">
      <w:r>
        <w:separator/>
      </w:r>
    </w:p>
  </w:footnote>
  <w:footnote w:type="continuationSeparator" w:id="0">
    <w:p w14:paraId="4E71104B" w14:textId="77777777" w:rsidR="00AA703B" w:rsidRDefault="00AA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1AF0"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6F7B4C2C" wp14:editId="68261C0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0F50D4" wp14:editId="7B9CA5A3">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D29B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055A0EE"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400B8953"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5A01E3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AB37DB1"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2E9D01C" w14:textId="77777777" w:rsidR="00B210E8" w:rsidRPr="00420409" w:rsidRDefault="00B210E8"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2EE18FB9" w14:textId="5EEC4D17" w:rsidR="00B210E8" w:rsidRPr="00420409" w:rsidRDefault="00F37CAF"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Pr>
        <w:rFonts w:ascii="Arial" w:hAnsi="Arial" w:cs="Arial"/>
        <w:sz w:val="14"/>
        <w:szCs w:val="16"/>
        <w:shd w:val="clear" w:color="auto" w:fill="FFFFFF"/>
        <w:lang w:val="es-PE" w:eastAsia="es-ES_tradnl"/>
      </w:rPr>
      <w:t xml:space="preserve">    </w:t>
    </w:r>
    <w:r w:rsidR="00800369" w:rsidRPr="00800369">
      <w:rPr>
        <w:rFonts w:ascii="Arial" w:hAnsi="Arial" w:cs="Arial"/>
        <w:sz w:val="14"/>
        <w:szCs w:val="16"/>
        <w:shd w:val="clear" w:color="auto" w:fill="FFFFFF"/>
        <w:lang w:val="es-PE" w:eastAsia="es-ES_tradnl"/>
      </w:rPr>
      <w:t>“Año de la esperanza y el fortalecimiento de la democracia”</w:t>
    </w:r>
  </w:p>
  <w:p w14:paraId="1E5385F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5476C2A"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32350"/>
    <w:rsid w:val="00042DA9"/>
    <w:rsid w:val="00045CF0"/>
    <w:rsid w:val="00086E48"/>
    <w:rsid w:val="000E4635"/>
    <w:rsid w:val="0011758D"/>
    <w:rsid w:val="00140764"/>
    <w:rsid w:val="001717BD"/>
    <w:rsid w:val="001B091F"/>
    <w:rsid w:val="001B75D7"/>
    <w:rsid w:val="001C63E7"/>
    <w:rsid w:val="001D089A"/>
    <w:rsid w:val="001D6E6B"/>
    <w:rsid w:val="001F3148"/>
    <w:rsid w:val="0021111B"/>
    <w:rsid w:val="00226C63"/>
    <w:rsid w:val="002451C0"/>
    <w:rsid w:val="00266EAC"/>
    <w:rsid w:val="0029042F"/>
    <w:rsid w:val="002C53EB"/>
    <w:rsid w:val="002D2BFE"/>
    <w:rsid w:val="002E0C51"/>
    <w:rsid w:val="002F48B5"/>
    <w:rsid w:val="00305B78"/>
    <w:rsid w:val="00306A86"/>
    <w:rsid w:val="00315F7C"/>
    <w:rsid w:val="00385292"/>
    <w:rsid w:val="00411DE1"/>
    <w:rsid w:val="00420409"/>
    <w:rsid w:val="00453DB3"/>
    <w:rsid w:val="00456A82"/>
    <w:rsid w:val="004660E0"/>
    <w:rsid w:val="00467C7D"/>
    <w:rsid w:val="00472FA2"/>
    <w:rsid w:val="0047598B"/>
    <w:rsid w:val="00486091"/>
    <w:rsid w:val="004A01D1"/>
    <w:rsid w:val="004A1873"/>
    <w:rsid w:val="004D5040"/>
    <w:rsid w:val="0051168E"/>
    <w:rsid w:val="00543D54"/>
    <w:rsid w:val="00545A2D"/>
    <w:rsid w:val="00557B1D"/>
    <w:rsid w:val="00577D9E"/>
    <w:rsid w:val="005E18F3"/>
    <w:rsid w:val="005E3A21"/>
    <w:rsid w:val="005E5C4C"/>
    <w:rsid w:val="006000F0"/>
    <w:rsid w:val="00602867"/>
    <w:rsid w:val="006528E1"/>
    <w:rsid w:val="00693D2B"/>
    <w:rsid w:val="006A2C87"/>
    <w:rsid w:val="006D487F"/>
    <w:rsid w:val="006F40F0"/>
    <w:rsid w:val="0073454A"/>
    <w:rsid w:val="00771A88"/>
    <w:rsid w:val="00784501"/>
    <w:rsid w:val="007C60B7"/>
    <w:rsid w:val="007D3E2B"/>
    <w:rsid w:val="007D686A"/>
    <w:rsid w:val="007E57A5"/>
    <w:rsid w:val="007E785A"/>
    <w:rsid w:val="00800369"/>
    <w:rsid w:val="00806510"/>
    <w:rsid w:val="00810A85"/>
    <w:rsid w:val="00812709"/>
    <w:rsid w:val="00826DAD"/>
    <w:rsid w:val="008338FE"/>
    <w:rsid w:val="008371B1"/>
    <w:rsid w:val="00841E23"/>
    <w:rsid w:val="0085383E"/>
    <w:rsid w:val="00882C1C"/>
    <w:rsid w:val="00884E28"/>
    <w:rsid w:val="00895CB6"/>
    <w:rsid w:val="008A7044"/>
    <w:rsid w:val="008C19AD"/>
    <w:rsid w:val="00900DE5"/>
    <w:rsid w:val="00906AFF"/>
    <w:rsid w:val="00926F79"/>
    <w:rsid w:val="00934E41"/>
    <w:rsid w:val="00974E91"/>
    <w:rsid w:val="0098692A"/>
    <w:rsid w:val="009C2AED"/>
    <w:rsid w:val="009F503F"/>
    <w:rsid w:val="00A17829"/>
    <w:rsid w:val="00A21690"/>
    <w:rsid w:val="00A47727"/>
    <w:rsid w:val="00AA703B"/>
    <w:rsid w:val="00AD0B83"/>
    <w:rsid w:val="00AD4FCD"/>
    <w:rsid w:val="00AE59D1"/>
    <w:rsid w:val="00AF6D69"/>
    <w:rsid w:val="00B01CE8"/>
    <w:rsid w:val="00B210E8"/>
    <w:rsid w:val="00B360CB"/>
    <w:rsid w:val="00B412B9"/>
    <w:rsid w:val="00B50825"/>
    <w:rsid w:val="00B84AB8"/>
    <w:rsid w:val="00BA2D2C"/>
    <w:rsid w:val="00BA6BBC"/>
    <w:rsid w:val="00BB03A6"/>
    <w:rsid w:val="00BD15B7"/>
    <w:rsid w:val="00BF75C1"/>
    <w:rsid w:val="00C0411B"/>
    <w:rsid w:val="00C14BF8"/>
    <w:rsid w:val="00C24076"/>
    <w:rsid w:val="00C46472"/>
    <w:rsid w:val="00C46E28"/>
    <w:rsid w:val="00C55773"/>
    <w:rsid w:val="00C61BD2"/>
    <w:rsid w:val="00C75928"/>
    <w:rsid w:val="00C77279"/>
    <w:rsid w:val="00CB535E"/>
    <w:rsid w:val="00CD5256"/>
    <w:rsid w:val="00CE7476"/>
    <w:rsid w:val="00CE794F"/>
    <w:rsid w:val="00D002E5"/>
    <w:rsid w:val="00D03A4B"/>
    <w:rsid w:val="00D03D46"/>
    <w:rsid w:val="00D23242"/>
    <w:rsid w:val="00D52BC4"/>
    <w:rsid w:val="00D542DB"/>
    <w:rsid w:val="00DA258B"/>
    <w:rsid w:val="00DC5145"/>
    <w:rsid w:val="00DC5F56"/>
    <w:rsid w:val="00DE38CC"/>
    <w:rsid w:val="00DE7356"/>
    <w:rsid w:val="00E05937"/>
    <w:rsid w:val="00E16262"/>
    <w:rsid w:val="00E44202"/>
    <w:rsid w:val="00E53B07"/>
    <w:rsid w:val="00E606CE"/>
    <w:rsid w:val="00F04A91"/>
    <w:rsid w:val="00F174FA"/>
    <w:rsid w:val="00F17921"/>
    <w:rsid w:val="00F3696C"/>
    <w:rsid w:val="00F37CAF"/>
    <w:rsid w:val="00F91611"/>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93F5"/>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7</cp:revision>
  <cp:lastPrinted>2025-12-31T17:06:00Z</cp:lastPrinted>
  <dcterms:created xsi:type="dcterms:W3CDTF">2026-01-26T21:21:00Z</dcterms:created>
  <dcterms:modified xsi:type="dcterms:W3CDTF">2026-03-27T14:28:00Z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